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333-275652</w:t>
      </w:r>
    </w:p>
    <w:p>
      <w:pPr>
        <w:spacing w:after="0" w:line="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(To prospectus dated November 29,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1693545</wp:posOffset>
            </wp:positionH>
            <wp:positionV relativeFrom="paragraph">
              <wp:posOffset>237490</wp:posOffset>
            </wp:positionV>
            <wp:extent cx="3754755" cy="6172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754755" cy="6172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4,944,000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258445</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ind w:left="120" w:right="400"/>
        <w:spacing w:after="0" w:line="286" w:lineRule="auto"/>
        <w:rPr>
          <w:sz w:val="20"/>
          <w:szCs w:val="20"/>
          <w:color w:val="auto"/>
        </w:rPr>
      </w:pPr>
      <w:r>
        <w:rPr>
          <w:rFonts w:ascii="Times New Roman" w:cs="Times New Roman" w:eastAsia="Times New Roman" w:hAnsi="Times New Roman"/>
          <w:sz w:val="18"/>
          <w:szCs w:val="18"/>
          <w:b w:val="1"/>
          <w:bCs w:val="1"/>
          <w:color w:val="auto"/>
        </w:rPr>
        <w:t>We are offering 4,944,000 shares of our common stock in this offering. Our common stock is listed on the Nasdaq Global Market under the symbol “IRON.” On June 13, 2024, the closing sale price of our common stock on the Nasdaq Global Market, was $39.16 per share.</w:t>
      </w:r>
    </w:p>
    <w:p>
      <w:pPr>
        <w:spacing w:after="0" w:line="155" w:lineRule="exact"/>
        <w:rPr>
          <w:sz w:val="24"/>
          <w:szCs w:val="24"/>
          <w:color w:val="auto"/>
        </w:rPr>
      </w:pPr>
    </w:p>
    <w:p>
      <w:pPr>
        <w:ind w:left="120" w:right="120"/>
        <w:spacing w:after="0" w:line="262" w:lineRule="auto"/>
        <w:rPr>
          <w:sz w:val="20"/>
          <w:szCs w:val="20"/>
          <w:color w:val="auto"/>
        </w:rPr>
      </w:pPr>
      <w:r>
        <w:rPr>
          <w:rFonts w:ascii="Times New Roman" w:cs="Times New Roman" w:eastAsia="Times New Roman" w:hAnsi="Times New Roman"/>
          <w:sz w:val="18"/>
          <w:szCs w:val="18"/>
          <w:b w:val="1"/>
          <w:bCs w:val="1"/>
          <w:color w:val="auto"/>
        </w:rPr>
        <w:t>We are an emerging growth company as that term is used in the Jumpstart Our Business Startups Act of 2012, or the JOBS Act, and a smaller reporting company as defined under Rule 405 of the Securities Act of 1933, as amended, or the Securities Act, and, as such, are subject to certain reduced public company reporting requirements. See “Prospectus Supplement Summary—Implications of Being an Emerging Growth Company and a Smaller Reporting Company” on page S-4 of this prospectus supplement.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212090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2" w:lineRule="exact"/>
        <w:rPr>
          <w:sz w:val="24"/>
          <w:szCs w:val="24"/>
          <w:color w:val="auto"/>
        </w:rPr>
      </w:pPr>
    </w:p>
    <w:p>
      <w:pPr>
        <w:ind w:left="120" w:right="140"/>
        <w:spacing w:after="0" w:line="241" w:lineRule="auto"/>
        <w:rPr>
          <w:sz w:val="20"/>
          <w:szCs w:val="20"/>
          <w:color w:val="auto"/>
        </w:rPr>
      </w:pPr>
      <w:r>
        <w:rPr>
          <w:rFonts w:ascii="Times New Roman" w:cs="Times New Roman" w:eastAsia="Times New Roman" w:hAnsi="Times New Roman"/>
          <w:sz w:val="22"/>
          <w:szCs w:val="22"/>
          <w:b w:val="1"/>
          <w:bCs w:val="1"/>
          <w:color w:val="auto"/>
        </w:rPr>
        <w:t>Investing in our common stock involves a high degree of risk. Please read “</w:t>
      </w:r>
      <w:r>
        <w:rPr>
          <w:rFonts w:ascii="Times New Roman" w:cs="Times New Roman" w:eastAsia="Times New Roman" w:hAnsi="Times New Roman"/>
          <w:sz w:val="22"/>
          <w:szCs w:val="22"/>
          <w:b w:val="1"/>
          <w:bCs w:val="1"/>
          <w:u w:val="single" w:color="auto"/>
          <w:color w:val="0000EE"/>
        </w:rPr>
        <w:t>Risk Factors</w:t>
      </w:r>
      <w:r>
        <w:rPr>
          <w:rFonts w:ascii="Times New Roman" w:cs="Times New Roman" w:eastAsia="Times New Roman" w:hAnsi="Times New Roman"/>
          <w:sz w:val="22"/>
          <w:szCs w:val="22"/>
          <w:b w:val="1"/>
          <w:bCs w:val="1"/>
          <w:color w:val="auto"/>
        </w:rPr>
        <w:t>” beginning on page S-7 of this prospectus supplement, page 1 in the accompanying prospectus, and under similar headings in the documents that are incorporated by reference into this prospectus supplement concerning factors you should carefully consider before investing in our common stock.</w:t>
      </w:r>
    </w:p>
    <w:p>
      <w:pPr>
        <w:spacing w:after="0" w:line="193" w:lineRule="exact"/>
        <w:rPr>
          <w:sz w:val="24"/>
          <w:szCs w:val="24"/>
          <w:color w:val="auto"/>
        </w:rPr>
      </w:pPr>
    </w:p>
    <w:tbl>
      <w:tblPr>
        <w:tblLayout w:type="fixed"/>
        <w:tblInd w:w="1440" w:type="dxa"/>
        <w:tblCellMar>
          <w:top w:w="0" w:type="dxa"/>
          <w:left w:w="0" w:type="dxa"/>
          <w:bottom w:w="0" w:type="dxa"/>
          <w:right w:w="0" w:type="dxa"/>
        </w:tblCellMar>
      </w:tblPr>
      <w:tr>
        <w:trPr>
          <w:trHeight w:val="161"/>
        </w:trPr>
        <w:tc>
          <w:tcPr>
            <w:tcW w:w="47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64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Per</w:t>
            </w:r>
          </w:p>
        </w:tc>
        <w:tc>
          <w:tcPr>
            <w:tcW w:w="360" w:type="dxa"/>
            <w:vAlign w:val="bottom"/>
          </w:tcPr>
          <w:p>
            <w:pPr>
              <w:spacing w:after="0"/>
              <w:rPr>
                <w:sz w:val="13"/>
                <w:szCs w:val="13"/>
                <w:color w:val="auto"/>
              </w:rPr>
            </w:pPr>
          </w:p>
        </w:tc>
        <w:tc>
          <w:tcPr>
            <w:tcW w:w="980" w:type="dxa"/>
            <w:vAlign w:val="bottom"/>
            <w:vMerge w:val="restart"/>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760" w:type="dxa"/>
            <w:vAlign w:val="bottom"/>
          </w:tcPr>
          <w:p>
            <w:pPr>
              <w:spacing w:after="0"/>
              <w:rPr>
                <w:sz w:val="15"/>
                <w:szCs w:val="15"/>
                <w:color w:val="auto"/>
              </w:rPr>
            </w:pPr>
          </w:p>
        </w:tc>
        <w:tc>
          <w:tcPr>
            <w:tcW w:w="2260" w:type="dxa"/>
            <w:vAlign w:val="bottom"/>
            <w:gridSpan w:val="2"/>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Share</w:t>
            </w:r>
          </w:p>
        </w:tc>
        <w:tc>
          <w:tcPr>
            <w:tcW w:w="36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w w:val="93"/>
              </w:rPr>
              <w:t>36.00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177,984,000</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discounts and commissions (1)</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0.90</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4,449,600</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w w:val="93"/>
              </w:rPr>
              <w:t>35.10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173,534,400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240030</wp:posOffset>
            </wp:positionV>
            <wp:extent cx="7715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394" w:lineRule="exact"/>
        <w:rPr>
          <w:sz w:val="24"/>
          <w:szCs w:val="24"/>
          <w:color w:val="auto"/>
        </w:rPr>
      </w:pPr>
    </w:p>
    <w:p>
      <w:pPr>
        <w:ind w:left="540" w:hanging="424"/>
        <w:spacing w:after="0"/>
        <w:tabs>
          <w:tab w:leader="none" w:pos="5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the section titled “Underwriting” beginning on page S-20 for a description of the compensation payable to the underwriter.</w:t>
      </w:r>
    </w:p>
    <w:p>
      <w:pPr>
        <w:spacing w:after="0" w:line="225" w:lineRule="exact"/>
        <w:rPr>
          <w:sz w:val="24"/>
          <w:szCs w:val="24"/>
          <w:color w:val="auto"/>
        </w:rPr>
      </w:pPr>
    </w:p>
    <w:p>
      <w:pPr>
        <w:ind w:left="120" w:right="220"/>
        <w:spacing w:after="0" w:line="312" w:lineRule="auto"/>
        <w:rPr>
          <w:sz w:val="20"/>
          <w:szCs w:val="20"/>
          <w:color w:val="auto"/>
        </w:rPr>
      </w:pPr>
      <w:r>
        <w:rPr>
          <w:rFonts w:ascii="Times New Roman" w:cs="Times New Roman" w:eastAsia="Times New Roman" w:hAnsi="Times New Roman"/>
          <w:sz w:val="17"/>
          <w:szCs w:val="17"/>
          <w:color w:val="auto"/>
        </w:rPr>
        <w:t>Neither the Securities and Exchange Commission nor any state securities commission has approved or disapproved of these securities, or passed upon the adequacy or accuracy of this prospectus supplement or the accompanying prospectus. Any representation to the contrary is a criminal offense.</w:t>
      </w:r>
    </w:p>
    <w:p>
      <w:pPr>
        <w:spacing w:after="0" w:line="14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The underwriter expects to deliver the shares of common stock against payment therefor on or about June 17,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240030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Leerink Partners</w:t>
      </w:r>
    </w:p>
    <w:p>
      <w:pPr>
        <w:spacing w:after="0" w:line="24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June 14, 2024</w:t>
      </w:r>
    </w:p>
    <w:p>
      <w:pPr>
        <w:sectPr>
          <w:pgSz w:w="11900" w:h="16838" w:orient="portrait"/>
          <w:cols w:equalWidth="0" w:num="1">
            <w:col w:w="11140"/>
          </w:cols>
          <w:pgMar w:left="320" w:top="226"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2500" w:type="dxa"/>
            <w:vAlign w:val="bottom"/>
            <w:gridSpan w:val="20"/>
            <w:vMerge w:val="restart"/>
          </w:tcPr>
          <w:p>
            <w:pPr>
              <w:spacing w:after="0"/>
              <w:rPr>
                <w:sz w:val="20"/>
                <w:szCs w:val="20"/>
                <w:color w:val="auto"/>
              </w:rPr>
            </w:pPr>
            <w:r>
              <w:rPr>
                <w:rFonts w:ascii="Times New Roman" w:cs="Times New Roman" w:eastAsia="Times New Roman" w:hAnsi="Times New Roman"/>
                <w:sz w:val="18"/>
                <w:szCs w:val="18"/>
                <w:color w:val="0000EE"/>
                <w:w w:val="99"/>
              </w:rPr>
              <w:t>About this Prospectus Supplement</w:t>
            </w:r>
          </w:p>
        </w:tc>
        <w:tc>
          <w:tcPr>
            <w:tcW w:w="8060" w:type="dxa"/>
            <w:vAlign w:val="bottom"/>
            <w:gridSpan w:val="11"/>
            <w:vMerge w:val="restart"/>
          </w:tcPr>
          <w:p>
            <w:pPr>
              <w:spacing w:after="0"/>
              <w:rPr>
                <w:sz w:val="15"/>
                <w:szCs w:val="15"/>
                <w:color w:val="auto"/>
              </w:rPr>
            </w:pP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1"/>
        </w:trPr>
        <w:tc>
          <w:tcPr>
            <w:tcW w:w="2500" w:type="dxa"/>
            <w:vAlign w:val="bottom"/>
            <w:tcBorders>
              <w:bottom w:val="single" w:sz="8" w:color="0000EE"/>
            </w:tcBorders>
            <w:gridSpan w:val="20"/>
            <w:vMerge w:val="continue"/>
          </w:tcPr>
          <w:p>
            <w:pPr>
              <w:spacing w:after="0"/>
              <w:rPr>
                <w:sz w:val="13"/>
                <w:szCs w:val="13"/>
                <w:color w:val="auto"/>
              </w:rPr>
            </w:pPr>
          </w:p>
        </w:tc>
        <w:tc>
          <w:tcPr>
            <w:tcW w:w="8060" w:type="dxa"/>
            <w:vAlign w:val="bottom"/>
            <w:gridSpan w:val="11"/>
            <w:vMerge w:val="continue"/>
          </w:tcPr>
          <w:p>
            <w:pPr>
              <w:spacing w:after="0"/>
              <w:rPr>
                <w:sz w:val="13"/>
                <w:szCs w:val="13"/>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S-ii</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4520" w:type="dxa"/>
            <w:vAlign w:val="bottom"/>
            <w:tcBorders>
              <w:bottom w:val="single" w:sz="8" w:color="0000EE"/>
            </w:tcBorders>
            <w:gridSpan w:val="27"/>
          </w:tcPr>
          <w:p>
            <w:pPr>
              <w:spacing w:after="0"/>
              <w:rPr>
                <w:sz w:val="20"/>
                <w:szCs w:val="20"/>
                <w:color w:val="auto"/>
              </w:rPr>
            </w:pPr>
            <w:r>
              <w:rPr>
                <w:rFonts w:ascii="Times New Roman" w:cs="Times New Roman" w:eastAsia="Times New Roman" w:hAnsi="Times New Roman"/>
                <w:sz w:val="18"/>
                <w:szCs w:val="18"/>
                <w:color w:val="0000EE"/>
                <w:w w:val="99"/>
              </w:rPr>
              <w:t>Cautionary Statement Regarding Forward-Looking Statements</w:t>
            </w:r>
          </w:p>
        </w:tc>
        <w:tc>
          <w:tcPr>
            <w:tcW w:w="6040" w:type="dxa"/>
            <w:vAlign w:val="bottom"/>
            <w:gridSpan w:val="4"/>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S-iv</w:t>
            </w:r>
          </w:p>
        </w:tc>
        <w:tc>
          <w:tcPr>
            <w:tcW w:w="0" w:type="dxa"/>
            <w:vAlign w:val="bottom"/>
          </w:tcPr>
          <w:p>
            <w:pPr>
              <w:spacing w:after="0"/>
              <w:rPr>
                <w:sz w:val="1"/>
                <w:szCs w:val="1"/>
                <w:color w:val="auto"/>
              </w:rPr>
            </w:pPr>
          </w:p>
        </w:tc>
      </w:tr>
      <w:tr>
        <w:trPr>
          <w:trHeight w:val="196"/>
        </w:trPr>
        <w:tc>
          <w:tcPr>
            <w:tcW w:w="244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Prospectus Supplement Summary</w:t>
            </w:r>
          </w:p>
        </w:tc>
        <w:tc>
          <w:tcPr>
            <w:tcW w:w="8120" w:type="dxa"/>
            <w:vAlign w:val="bottom"/>
            <w:gridSpan w:val="13"/>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0" w:type="dxa"/>
            <w:vAlign w:val="bottom"/>
          </w:tcPr>
          <w:p>
            <w:pPr>
              <w:spacing w:after="0"/>
              <w:rPr>
                <w:sz w:val="1"/>
                <w:szCs w:val="1"/>
                <w:color w:val="auto"/>
              </w:rPr>
            </w:pPr>
          </w:p>
        </w:tc>
      </w:tr>
      <w:tr>
        <w:trPr>
          <w:trHeight w:val="196"/>
        </w:trPr>
        <w:tc>
          <w:tcPr>
            <w:tcW w:w="1056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S-7</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Dividend Policy</w:t>
            </w:r>
          </w:p>
        </w:tc>
        <w:tc>
          <w:tcPr>
            <w:tcW w:w="9380" w:type="dxa"/>
            <w:vAlign w:val="bottom"/>
            <w:gridSpan w:val="23"/>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S-11</w:t>
            </w:r>
          </w:p>
        </w:tc>
        <w:tc>
          <w:tcPr>
            <w:tcW w:w="0" w:type="dxa"/>
            <w:vAlign w:val="bottom"/>
          </w:tcPr>
          <w:p>
            <w:pPr>
              <w:spacing w:after="0"/>
              <w:rPr>
                <w:sz w:val="1"/>
                <w:szCs w:val="1"/>
                <w:color w:val="auto"/>
              </w:rPr>
            </w:pPr>
          </w:p>
        </w:tc>
      </w:tr>
      <w:tr>
        <w:trPr>
          <w:trHeight w:val="196"/>
        </w:trPr>
        <w:tc>
          <w:tcPr>
            <w:tcW w:w="1056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S-12</w:t>
            </w:r>
          </w:p>
        </w:tc>
        <w:tc>
          <w:tcPr>
            <w:tcW w:w="0" w:type="dxa"/>
            <w:vAlign w:val="bottom"/>
          </w:tcPr>
          <w:p>
            <w:pPr>
              <w:spacing w:after="0"/>
              <w:rPr>
                <w:sz w:val="1"/>
                <w:szCs w:val="1"/>
                <w:color w:val="auto"/>
              </w:rPr>
            </w:pPr>
          </w:p>
        </w:tc>
      </w:tr>
      <w:tr>
        <w:trPr>
          <w:trHeight w:val="196"/>
        </w:trPr>
        <w:tc>
          <w:tcPr>
            <w:tcW w:w="60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6"/>
              </w:rPr>
              <w:t>Dilution</w:t>
            </w:r>
          </w:p>
        </w:tc>
        <w:tc>
          <w:tcPr>
            <w:tcW w:w="560" w:type="dxa"/>
            <w:vAlign w:val="bottom"/>
            <w:tcBorders>
              <w:top w:val="single" w:sz="8" w:color="0000EE"/>
            </w:tcBorders>
            <w:gridSpan w:val="5"/>
          </w:tcPr>
          <w:p>
            <w:pPr>
              <w:spacing w:after="0"/>
              <w:rPr>
                <w:sz w:val="17"/>
                <w:szCs w:val="17"/>
                <w:color w:val="auto"/>
              </w:rPr>
            </w:pPr>
          </w:p>
        </w:tc>
        <w:tc>
          <w:tcPr>
            <w:tcW w:w="9400" w:type="dxa"/>
            <w:vAlign w:val="bottom"/>
            <w:gridSpan w:val="24"/>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S-13</w:t>
            </w:r>
          </w:p>
        </w:tc>
        <w:tc>
          <w:tcPr>
            <w:tcW w:w="0" w:type="dxa"/>
            <w:vAlign w:val="bottom"/>
          </w:tcPr>
          <w:p>
            <w:pPr>
              <w:spacing w:after="0"/>
              <w:rPr>
                <w:sz w:val="1"/>
                <w:szCs w:val="1"/>
                <w:color w:val="auto"/>
              </w:rPr>
            </w:pPr>
          </w:p>
        </w:tc>
      </w:tr>
      <w:tr>
        <w:trPr>
          <w:trHeight w:val="196"/>
        </w:trPr>
        <w:tc>
          <w:tcPr>
            <w:tcW w:w="5840" w:type="dxa"/>
            <w:vAlign w:val="bottom"/>
            <w:tcBorders>
              <w:bottom w:val="single" w:sz="8" w:color="0000EE"/>
            </w:tcBorders>
            <w:gridSpan w:val="30"/>
          </w:tcPr>
          <w:p>
            <w:pPr>
              <w:spacing w:after="0" w:line="196" w:lineRule="exact"/>
              <w:rPr>
                <w:sz w:val="20"/>
                <w:szCs w:val="20"/>
                <w:color w:val="auto"/>
              </w:rPr>
            </w:pPr>
            <w:r>
              <w:rPr>
                <w:rFonts w:ascii="Times New Roman" w:cs="Times New Roman" w:eastAsia="Times New Roman" w:hAnsi="Times New Roman"/>
                <w:sz w:val="18"/>
                <w:szCs w:val="18"/>
                <w:color w:val="0000EE"/>
                <w:w w:val="99"/>
              </w:rPr>
              <w:t>Material U.S. Federal Income Tax Consequences for Investors in Common Stock</w:t>
            </w:r>
          </w:p>
        </w:tc>
        <w:tc>
          <w:tcPr>
            <w:tcW w:w="472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S-15</w:t>
            </w:r>
          </w:p>
        </w:tc>
        <w:tc>
          <w:tcPr>
            <w:tcW w:w="0" w:type="dxa"/>
            <w:vAlign w:val="bottom"/>
          </w:tcPr>
          <w:p>
            <w:pPr>
              <w:spacing w:after="0"/>
              <w:rPr>
                <w:sz w:val="1"/>
                <w:szCs w:val="1"/>
                <w:color w:val="auto"/>
              </w:rPr>
            </w:pPr>
          </w:p>
        </w:tc>
      </w:tr>
      <w:tr>
        <w:trPr>
          <w:trHeight w:val="196"/>
        </w:trPr>
        <w:tc>
          <w:tcPr>
            <w:tcW w:w="1056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Underwriting</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S-20</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4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Legal Matters</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S-27</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9560" w:type="dxa"/>
            <w:vAlign w:val="bottom"/>
            <w:gridSpan w:val="25"/>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S-28</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80" w:type="dxa"/>
            <w:vAlign w:val="bottom"/>
            <w:gridSpan w:val="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4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S-29</w:t>
            </w:r>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EE"/>
          </w:tcPr>
          <w:p>
            <w:pPr>
              <w:spacing w:after="0" w:line="20" w:lineRule="exact"/>
              <w:rPr>
                <w:sz w:val="1"/>
                <w:szCs w:val="1"/>
                <w:color w:val="auto"/>
              </w:rPr>
            </w:pPr>
          </w:p>
        </w:tc>
        <w:tc>
          <w:tcPr>
            <w:tcW w:w="480" w:type="dxa"/>
            <w:vAlign w:val="bottom"/>
            <w:gridSpan w:val="6"/>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4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Incorporation of Certain Information by Reference</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S-30</w:t>
            </w:r>
          </w:p>
        </w:tc>
        <w:tc>
          <w:tcPr>
            <w:tcW w:w="0" w:type="dxa"/>
            <w:vAlign w:val="bottom"/>
          </w:tcPr>
          <w:p>
            <w:pPr>
              <w:spacing w:after="0"/>
              <w:rPr>
                <w:sz w:val="1"/>
                <w:szCs w:val="1"/>
                <w:color w:val="auto"/>
              </w:rPr>
            </w:pPr>
          </w:p>
        </w:tc>
      </w:tr>
      <w:tr>
        <w:trPr>
          <w:trHeight w:val="668"/>
        </w:trPr>
        <w:tc>
          <w:tcPr>
            <w:tcW w:w="5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40" w:type="dxa"/>
            <w:vAlign w:val="bottom"/>
            <w:gridSpan w:val="4"/>
          </w:tcPr>
          <w:p>
            <w:pPr>
              <w:ind w:left="380"/>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194"/>
        </w:trPr>
        <w:tc>
          <w:tcPr>
            <w:tcW w:w="10560" w:type="dxa"/>
            <w:vAlign w:val="bottom"/>
            <w:gridSpan w:val="31"/>
          </w:tcPr>
          <w:p>
            <w:pPr>
              <w:spacing w:after="0" w:line="194" w:lineRule="exact"/>
              <w:rPr>
                <w:sz w:val="20"/>
                <w:szCs w:val="20"/>
                <w:color w:val="auto"/>
              </w:rPr>
            </w:pPr>
            <w:r>
              <w:rPr>
                <w:rFonts w:ascii="Times New Roman" w:cs="Times New Roman" w:eastAsia="Times New Roman" w:hAnsi="Times New Roman"/>
                <w:sz w:val="18"/>
                <w:szCs w:val="18"/>
                <w:color w:val="0000EE"/>
              </w:rPr>
              <w:t>ABOUT THIS PROSPECTUS</w:t>
            </w:r>
          </w:p>
        </w:tc>
        <w:tc>
          <w:tcPr>
            <w:tcW w:w="420" w:type="dxa"/>
            <w:vAlign w:val="bottom"/>
            <w:gridSpan w:val="2"/>
          </w:tcPr>
          <w:p>
            <w:pPr>
              <w:jc w:val="right"/>
              <w:ind w:right="20"/>
              <w:spacing w:after="0" w:line="194"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EE"/>
          </w:tcPr>
          <w:p>
            <w:pPr>
              <w:spacing w:after="0" w:line="20" w:lineRule="exact"/>
              <w:rPr>
                <w:sz w:val="1"/>
                <w:szCs w:val="1"/>
                <w:color w:val="auto"/>
              </w:rPr>
            </w:pPr>
          </w:p>
        </w:tc>
        <w:tc>
          <w:tcPr>
            <w:tcW w:w="480" w:type="dxa"/>
            <w:vAlign w:val="bottom"/>
            <w:gridSpan w:val="6"/>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4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EE"/>
          </w:tcPr>
          <w:p>
            <w:pPr>
              <w:spacing w:after="0" w:line="20" w:lineRule="exact"/>
              <w:rPr>
                <w:sz w:val="1"/>
                <w:szCs w:val="1"/>
                <w:color w:val="auto"/>
              </w:rPr>
            </w:pPr>
          </w:p>
        </w:tc>
        <w:tc>
          <w:tcPr>
            <w:tcW w:w="480" w:type="dxa"/>
            <w:vAlign w:val="bottom"/>
            <w:gridSpan w:val="6"/>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4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80" w:type="dxa"/>
            <w:vAlign w:val="bottom"/>
            <w:tcBorders>
              <w:bottom w:val="single" w:sz="8" w:color="0000EE"/>
            </w:tcBorders>
            <w:gridSpan w:val="28"/>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OF CERTAIN INFORMATION BY REFERENCE</w:t>
            </w:r>
          </w:p>
        </w:tc>
        <w:tc>
          <w:tcPr>
            <w:tcW w:w="5380" w:type="dxa"/>
            <w:vAlign w:val="bottom"/>
            <w:gridSpan w:val="3"/>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1056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1940" w:type="dxa"/>
            <w:vAlign w:val="bottom"/>
            <w:tcBorders>
              <w:top w:val="single" w:sz="8" w:color="0000EE"/>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7"/>
              </w:rPr>
              <w:t>ABOUT THE COMPANY</w:t>
            </w:r>
          </w:p>
        </w:tc>
        <w:tc>
          <w:tcPr>
            <w:tcW w:w="3380" w:type="dxa"/>
            <w:vAlign w:val="bottom"/>
            <w:tcBorders>
              <w:top w:val="single" w:sz="8" w:color="0000EE"/>
            </w:tcBorders>
            <w:gridSpan w:val="16"/>
          </w:tcPr>
          <w:p>
            <w:pPr>
              <w:spacing w:after="0"/>
              <w:rPr>
                <w:sz w:val="17"/>
                <w:szCs w:val="17"/>
                <w:color w:val="auto"/>
              </w:rPr>
            </w:pPr>
          </w:p>
        </w:tc>
        <w:tc>
          <w:tcPr>
            <w:tcW w:w="5240" w:type="dxa"/>
            <w:vAlign w:val="bottom"/>
            <w:gridSpan w:val="2"/>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1056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EE"/>
          </w:tcPr>
          <w:p>
            <w:pPr>
              <w:spacing w:after="0" w:line="20" w:lineRule="exact"/>
              <w:rPr>
                <w:sz w:val="1"/>
                <w:szCs w:val="1"/>
                <w:color w:val="auto"/>
              </w:rPr>
            </w:pPr>
          </w:p>
        </w:tc>
        <w:tc>
          <w:tcPr>
            <w:tcW w:w="480" w:type="dxa"/>
            <w:vAlign w:val="bottom"/>
            <w:gridSpan w:val="6"/>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180" w:type="dxa"/>
            <w:vAlign w:val="bottom"/>
            <w:gridSpan w:val="7"/>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SELECTED FINANCIAL DATA</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196"/>
        </w:trPr>
        <w:tc>
          <w:tcPr>
            <w:tcW w:w="1600" w:type="dxa"/>
            <w:vAlign w:val="bottom"/>
            <w:tcBorders>
              <w:top w:val="single" w:sz="8" w:color="0000EE"/>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USE OF PROCEEDS</w:t>
            </w:r>
          </w:p>
        </w:tc>
        <w:tc>
          <w:tcPr>
            <w:tcW w:w="820" w:type="dxa"/>
            <w:vAlign w:val="bottom"/>
            <w:tcBorders>
              <w:top w:val="single" w:sz="8" w:color="0000EE"/>
            </w:tcBorders>
            <w:gridSpan w:val="5"/>
          </w:tcPr>
          <w:p>
            <w:pPr>
              <w:spacing w:after="0"/>
              <w:rPr>
                <w:sz w:val="17"/>
                <w:szCs w:val="17"/>
                <w:color w:val="auto"/>
              </w:rPr>
            </w:pPr>
          </w:p>
        </w:tc>
        <w:tc>
          <w:tcPr>
            <w:tcW w:w="8140" w:type="dxa"/>
            <w:vAlign w:val="bottom"/>
            <w:gridSpan w:val="14"/>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196"/>
        </w:trPr>
        <w:tc>
          <w:tcPr>
            <w:tcW w:w="158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DIVIDEND POLICY</w:t>
            </w:r>
          </w:p>
        </w:tc>
        <w:tc>
          <w:tcPr>
            <w:tcW w:w="8980" w:type="dxa"/>
            <w:vAlign w:val="bottom"/>
            <w:gridSpan w:val="20"/>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196"/>
        </w:trPr>
        <w:tc>
          <w:tcPr>
            <w:tcW w:w="1056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GENERAL DESCRIPTION OF SECURITIES</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96"/>
        </w:trPr>
        <w:tc>
          <w:tcPr>
            <w:tcW w:w="3380" w:type="dxa"/>
            <w:vAlign w:val="bottom"/>
            <w:tcBorders>
              <w:top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7180" w:type="dxa"/>
            <w:vAlign w:val="bottom"/>
            <w:gridSpan w:val="7"/>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EE"/>
          </w:tcPr>
          <w:p>
            <w:pPr>
              <w:spacing w:after="0" w:line="20" w:lineRule="exact"/>
              <w:rPr>
                <w:sz w:val="1"/>
                <w:szCs w:val="1"/>
                <w:color w:val="auto"/>
              </w:rPr>
            </w:pPr>
          </w:p>
        </w:tc>
        <w:tc>
          <w:tcPr>
            <w:tcW w:w="700" w:type="dxa"/>
            <w:vAlign w:val="bottom"/>
            <w:gridSpan w:val="7"/>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540" w:type="dxa"/>
            <w:vAlign w:val="bottom"/>
            <w:gridSpan w:val="8"/>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20" w:type="dxa"/>
            <w:vAlign w:val="bottom"/>
            <w:tcBorders>
              <w:bottom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7540" w:type="dxa"/>
            <w:vAlign w:val="bottom"/>
            <w:gridSpan w:val="8"/>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196"/>
        </w:trPr>
        <w:tc>
          <w:tcPr>
            <w:tcW w:w="248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WARRANTS</w:t>
            </w:r>
          </w:p>
        </w:tc>
        <w:tc>
          <w:tcPr>
            <w:tcW w:w="8080" w:type="dxa"/>
            <w:vAlign w:val="bottom"/>
            <w:gridSpan w:val="12"/>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196"/>
        </w:trPr>
        <w:tc>
          <w:tcPr>
            <w:tcW w:w="202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UNITS</w:t>
            </w:r>
          </w:p>
        </w:tc>
        <w:tc>
          <w:tcPr>
            <w:tcW w:w="8540" w:type="dxa"/>
            <w:vAlign w:val="bottom"/>
            <w:gridSpan w:val="17"/>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196"/>
        </w:trPr>
        <w:tc>
          <w:tcPr>
            <w:tcW w:w="1056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5"/>
          </w:tcPr>
          <w:p>
            <w:pPr>
              <w:spacing w:after="0"/>
              <w:rPr>
                <w:sz w:val="17"/>
                <w:szCs w:val="17"/>
                <w:color w:val="auto"/>
              </w:rPr>
            </w:pPr>
          </w:p>
        </w:tc>
        <w:tc>
          <w:tcPr>
            <w:tcW w:w="8520" w:type="dxa"/>
            <w:vAlign w:val="bottom"/>
            <w:gridSpan w:val="16"/>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196"/>
        </w:trPr>
        <w:tc>
          <w:tcPr>
            <w:tcW w:w="1056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S-i</w:t>
      </w:r>
    </w:p>
    <w:p>
      <w:pPr>
        <w:sectPr>
          <w:pgSz w:w="11900" w:h="16838" w:orient="portrait"/>
          <w:cols w:equalWidth="0" w:num="1">
            <w:col w:w="11080"/>
          </w:cols>
          <w:pgMar w:left="320" w:top="455"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This prospectus supplement is part of a registration statement on Form S-3 (File No. 333-275652) that we filed with the Securities and Exchange Commission, or SEC, using a “shelf” registration process on November 20, 2023, which was declared effective on November 29, 2023. This document is in two parts. The first part is this prospectus supplement, which describes the specific terms of this offering of common stock. The second part is the accompanying prospectus, which provides more general information, some of which may not apply to this offering. The information included or incorporated by reference in this prospectus supplement also adds to, updates and changes information contained or incorporated by reference in the accompanying prospectus. If information included or incorporated by reference in this prospectus supplement is inconsistent with the accompanying prospectus or the information incorporated by reference therein, then this prospectus supplement or the information incorporated by reference in this prospectus supplement will apply and will supersede the information in the accompanying prospectus and the documents incorporated by reference therein. However, if any statement in one of these documents is inconsistent with a statement in another document with a later date that is incorporated by reference herein, the statement in the document having the later date modifies and supersedes the earlier statement.</w:t>
      </w:r>
    </w:p>
    <w:p>
      <w:pPr>
        <w:spacing w:after="0" w:line="194" w:lineRule="exact"/>
        <w:rPr>
          <w:sz w:val="20"/>
          <w:szCs w:val="20"/>
          <w:color w:val="auto"/>
        </w:rPr>
      </w:pPr>
    </w:p>
    <w:p>
      <w:pPr>
        <w:jc w:val="both"/>
        <w:ind w:left="120" w:firstLine="440"/>
        <w:spacing w:after="0" w:line="289" w:lineRule="auto"/>
        <w:rPr>
          <w:sz w:val="20"/>
          <w:szCs w:val="20"/>
          <w:color w:val="auto"/>
        </w:rPr>
      </w:pPr>
      <w:r>
        <w:rPr>
          <w:rFonts w:ascii="Times New Roman" w:cs="Times New Roman" w:eastAsia="Times New Roman" w:hAnsi="Times New Roman"/>
          <w:sz w:val="17"/>
          <w:szCs w:val="17"/>
          <w:color w:val="auto"/>
        </w:rPr>
        <w:t>Before buying any of the shares of common stock offered hereby, we urge you to read carefully this prospectus supplement and the accompanying prospectus, together with the information incorporated herein by reference as described below under the heading “Incorporation of Certain Information by Reference,” as well as the additional information described in this prospectus supplement under “Where You Can Find More Information.”</w:t>
      </w:r>
    </w:p>
    <w:p>
      <w:pPr>
        <w:spacing w:after="0" w:line="158"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83"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Neither we nor the underwriter has authorized anyone to provide you with information other than the information that we have provided or incorporated by reference in this prospectus supplement and the accompanying prospectus and your reliance on any unauthorized information or representation is at your own risk. You should assume that the information appearing in this prospectus supplement is accurate only as of the date of this prospectus supplement and that any information we have incorporated by reference is accurate only as of the date of the document incorporated by reference, regardless of the time of delivery of this prospectus supplement, or any sale of our common stock. Our business, financial condition and results of operations may have changed since those dates.</w:t>
      </w:r>
    </w:p>
    <w:p>
      <w:pPr>
        <w:spacing w:after="0" w:line="187"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We are offering to sell, and seeking offers to buy, shares of common stock only in jurisdictions where offers and sales are permitted. The distribution of this prospectus supplement and the accompanying prospectus and the offering of the common stock in certain jurisdictions may be restricted by law. No action is being taken in any jurisdiction outside the United States to permit a public offering of the securities or possession or distribution of this prospectus supplement or the accompanying prospectus in that jurisdiction. Persons outside the United States who come into possession of this prospectus supplement and the accompanying prospectus must inform themselves about, and observe any restrictions relating to, the offering of the common stock and the distribution of this prospectus supplement and the accompanying prospectus outside the United States. This prospectus supplement and the accompanying prospectus do not constitute, and may not be used in connection with, an offer to sell, or a solicitation of an offer to buy, any securities offered by this prospectus supplement and the accompanying prospectus by any person in any jurisdiction in which it is unlawful for such person to make such an offer or solicitation.</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S-ii</w:t>
      </w:r>
    </w:p>
    <w:p>
      <w:pPr>
        <w:sectPr>
          <w:pgSz w:w="11900" w:h="16838" w:orient="portrait"/>
          <w:cols w:equalWidth="0" w:num="1">
            <w:col w:w="11080"/>
          </w:cols>
          <w:pgMar w:left="320" w:top="455" w:right="4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On December 29, 2022, we acquired Disc Medicine Opco, Inc. (formerly Disc Medicine, Inc.), or Private Disc, pursuant to an agreement and plan of merger, or the Merger, and we changed our name to Disc Medicine, Inc. on December 29, 2022. As used in this prospectus supplement, unless the context otherwise requires, references to “Disc,” the “Company,” “we,” “us” and “our” refer to (i) prior to the date of the Merger, Private Disc, and its wholly owned, consolidated subsidiaries, or either or all of them as the context may require, and (ii) following the date of the Merger, Disc Medicine, Inc., and its wholly owned, consolidated subsidiaries, or either or all of them as the context may require.</w:t>
      </w:r>
    </w:p>
    <w:p>
      <w:pPr>
        <w:spacing w:after="0" w:line="183"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All references in this prospectus supplement and the accompanying prospectus to our consolidated financial statements include the related notes thereto.</w:t>
      </w:r>
    </w:p>
    <w:p>
      <w:pPr>
        <w:spacing w:after="0" w:line="162" w:lineRule="exact"/>
        <w:rPr>
          <w:sz w:val="20"/>
          <w:szCs w:val="20"/>
          <w:color w:val="auto"/>
        </w:rPr>
      </w:pPr>
    </w:p>
    <w:p>
      <w:pPr>
        <w:ind w:left="120" w:right="40" w:firstLine="440"/>
        <w:spacing w:after="0" w:line="243" w:lineRule="auto"/>
        <w:rPr>
          <w:sz w:val="20"/>
          <w:szCs w:val="20"/>
          <w:color w:val="auto"/>
        </w:rPr>
      </w:pPr>
      <w:r>
        <w:rPr>
          <w:rFonts w:ascii="Times New Roman" w:cs="Times New Roman" w:eastAsia="Times New Roman" w:hAnsi="Times New Roman"/>
          <w:sz w:val="17"/>
          <w:szCs w:val="17"/>
          <w:color w:val="auto"/>
        </w:rPr>
        <w:t>Disc Medicine, Inc., the Disc logo and our other registered or common law trademarks, trade names or service marks appearing in this prospectus supplement are owned by us. All other trademarks or trade names referred to in this prospectus supplement are the property of their respective owners. Solely for convenience, the trademarks and trade names in this prospectus supplement are referred to without the symbols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and</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but such references should not be construed as any indicator that their respective owners will not assert, to the fullest extent under applicable law, their rights thereto.</w:t>
      </w:r>
    </w:p>
    <w:p>
      <w:pPr>
        <w:spacing w:after="0" w:line="12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S-iii</w:t>
      </w:r>
    </w:p>
    <w:p>
      <w:pPr>
        <w:sectPr>
          <w:pgSz w:w="11900" w:h="16838" w:orient="portrait"/>
          <w:cols w:equalWidth="0" w:num="1">
            <w:col w:w="11080"/>
          </w:cols>
          <w:pgMar w:left="320" w:top="455" w:right="4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the documents that we incorporate by reference, contain “forward-looking statements” within the meaning of Section 27A of the Securities Act and Section 21E of the Exchange Act. All statements, other than statements of historical facts, included in this prospectus supplement and the accompanying prospectus, including the documents that we incorporate by reference, regarding our strategy, future operations, future financial position, future revenue, projected costs, prospects, plans, objectives of management and expected market growth are forward-looking statements. The words “anticipate,” “believe,” “continue,” “could,” “estimate,” “expect,” “intend,” “may,” “plan,” “potential,” “predict,” “project,” “should,” “target,” “will,” “would” and similar expressions are intended to identify forward-looking statements, although not all forward-looking statements contain these identifying words. These forward-looking statements include, among other things, statements about:</w:t>
      </w:r>
    </w:p>
    <w:p>
      <w:pPr>
        <w:spacing w:after="0" w:line="97" w:lineRule="exact"/>
        <w:rPr>
          <w:sz w:val="20"/>
          <w:szCs w:val="20"/>
          <w:color w:val="auto"/>
        </w:rPr>
      </w:pPr>
    </w:p>
    <w:p>
      <w:pPr>
        <w:ind w:left="1080" w:right="80" w:hanging="424"/>
        <w:spacing w:after="0" w:line="261"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results, and cost of our research and development programs and our current and future preclinical studies and clinical trials, including our ongoing Phase 1b/2 clinical trials of DISC-0974 and our ongoing Phase 1 clinical trial of DISC-3405, and including statements regarding the timing of initiation and completion of studies or trials and related preparatory work, the period during which the results of the trials will become available, and our research and development programs;</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efficiently discover and develop product candidates;</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the potential to successfully manufacture our drug substances and product candidates for preclinical use, for clinical trials and on a larger scale for commercial use, if approved;</w:t>
      </w:r>
    </w:p>
    <w:p>
      <w:pPr>
        <w:spacing w:after="0" w:line="67" w:lineRule="exact"/>
        <w:rPr>
          <w:rFonts w:ascii="Times New Roman" w:cs="Times New Roman" w:eastAsia="Times New Roman" w:hAnsi="Times New Roman"/>
          <w:sz w:val="18"/>
          <w:szCs w:val="18"/>
          <w:color w:val="auto"/>
        </w:rPr>
      </w:pPr>
    </w:p>
    <w:p>
      <w:pPr>
        <w:ind w:left="1080" w:right="76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operations necessary to complete further development and commercialization of our product candidates;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of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our products, if approved;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and reimbursement of our product candidates, if approved;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and strategic plans for our business and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covering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future expenses, revenues, capital requirements, and our needs for additional financing;</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strategic collaboration agreements, our ability to enter into strategic collaborations or arrangements, and our ability to attract collaborators with development, regulatory and commercialization expertise;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agreements with third parties in connection with the commercialization of product candidates and any other approved product;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potential of the markets for our product candidates, and our ability to serve those markets;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and foreign countries;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contract with third-party suppliers and manufacturers and their ability to perform adequately;</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S-iv</w:t>
      </w:r>
    </w:p>
    <w:p>
      <w:pPr>
        <w:sectPr>
          <w:pgSz w:w="11900" w:h="16838" w:orient="portrait"/>
          <w:cols w:equalWidth="0" w:num="1">
            <w:col w:w="11120"/>
          </w:cols>
          <w:pgMar w:left="320" w:top="455"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produce our products or product candidates with advantages in turnaround times or manufacturing cost;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therapies that are or may become available;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scientific or management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laws and regulations;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61"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global economic and political developments on our business, including rising inflation and capital market disruptions, the current conflicts between Russia and Ukraine between and between Israel and Hamas, economic sanctions and economic slowdowns or recessions that may result from such developments which could harm our research and development efforts as well as the value of our common stock and our ability to access capital markets;</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listed under the caption “Risk Factors;”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the proceeds from this offering and any other financing transaction we may undertake.</w:t>
      </w:r>
    </w:p>
    <w:p>
      <w:pPr>
        <w:spacing w:after="0" w:line="225"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The forward-looking statements in this prospectus supplement represent our views as of the date of this prospectus supplement. We anticipate that subsequent events and developments will cause our views to change. However, while we may elect to update these forward-looking statements at some point in the future, we have no current intention of doing so except to the extent required by applicable law.</w:t>
      </w:r>
    </w:p>
    <w:p>
      <w:pPr>
        <w:spacing w:after="0" w:line="176"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outcome of the events described in these forward-looking statements is subject to known and unknown risks, uncertainties, and other factors. As a result of a number of known and unknown risks and uncertainties, our actual results or performance may be materially different from those expressed or implied by these forward-looking statements. Some factors that could cause actual results to differ include:</w:t>
      </w:r>
    </w:p>
    <w:p>
      <w:pPr>
        <w:spacing w:after="0" w:line="81" w:lineRule="exact"/>
        <w:rPr>
          <w:sz w:val="20"/>
          <w:szCs w:val="20"/>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maintain the listing of our common stock on Nasdaq;</w:t>
      </w:r>
    </w:p>
    <w:p>
      <w:pPr>
        <w:spacing w:after="0" w:line="130"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our securities may be volatile due to a variety of factors, including the volatility in capital markets, changes in the competitive and highly regulated industries in which we operate, variations in performance across competitors, changes in laws and regulations affecting our business and changes in our capital structure;</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downturns in the economy and the possibility of rapid change in the highly competitive industry in which we operate;</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we will need to raise additional capital to execute our business plan, which may not be available on acceptable terms or at all;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we experience difficulties in managing our growth and expanding operations.</w:t>
      </w:r>
    </w:p>
    <w:p>
      <w:pPr>
        <w:spacing w:after="0" w:line="225" w:lineRule="exact"/>
        <w:rPr>
          <w:sz w:val="20"/>
          <w:szCs w:val="20"/>
          <w:color w:val="auto"/>
        </w:rPr>
      </w:pPr>
    </w:p>
    <w:p>
      <w:pPr>
        <w:ind w:left="120" w:right="680" w:firstLine="440"/>
        <w:spacing w:after="0" w:line="282" w:lineRule="auto"/>
        <w:rPr>
          <w:sz w:val="20"/>
          <w:szCs w:val="20"/>
          <w:color w:val="auto"/>
        </w:rPr>
      </w:pPr>
      <w:r>
        <w:rPr>
          <w:rFonts w:ascii="Times New Roman" w:cs="Times New Roman" w:eastAsia="Times New Roman" w:hAnsi="Times New Roman"/>
          <w:sz w:val="18"/>
          <w:szCs w:val="18"/>
          <w:color w:val="auto"/>
        </w:rPr>
        <w:t>You should therefore not rely on these forward-looking statements as representing our views as of any date subsequent to the date of this prospectus supplement.</w:t>
      </w:r>
    </w:p>
    <w:p>
      <w:pPr>
        <w:spacing w:after="0" w:line="162"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We may from time-to-time provide estimates, projections and other information concerning our industry, our business and the markets for our programs and product candidates. Information that is based on estimates, forecasts, projections,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our own internal estimates and research as well as from reports, research surveys, studies, and similar data prepared by market research firms and other third parties, industry, medical and general publications, government data and similar sources. While we are not aware of any misstatements regarding any third-party information presented in this prospectus supplement or the accompanying prospectus, their estimates, in</w:t>
      </w:r>
    </w:p>
    <w:p>
      <w:pPr>
        <w:spacing w:after="0" w:line="1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S-v</w:t>
      </w:r>
    </w:p>
    <w:p>
      <w:pPr>
        <w:sectPr>
          <w:pgSz w:w="11900" w:h="16838" w:orient="portrait"/>
          <w:cols w:equalWidth="0" w:num="1">
            <w:col w:w="11080"/>
          </w:cols>
          <w:pgMar w:left="320" w:top="455" w:right="4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particular, as they relate to projections, involve numerous assumptions, are subject to risks and uncertainties and are subject to change based on various factors. You should read this prospectus supplement, the accompanying prospectus and the documents that we reference herein and therein and have filed with the SEC as exhibits thereto completely and with the understanding that our actual future results may be materially different from any future results expressed or implied by these forward-looking statements. These estimates involve numerous assumptions, are subject to risks and uncertainties and are subject to change based on various factors, including those discussed in our Quarterly Report on Form 10-Q for the quarter ended March 31, 2024 filed with the SEC on May 9, 2024, which is incorporated by reference into this prospectus supplement and the accompanying prospectus, and the section this prospectus supplement and the accompanying prospectus entitled “Risk Factors” that could cause actual results or events to differ materially from the forward-looking statements that we make. Our forward-looking statements do not reflect the potential impact of any future acquisitions, mergers, dispositions, collaborations, joint ventures, or investments that we may make or into which we may enter.</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S-vi</w:t>
      </w:r>
    </w:p>
    <w:p>
      <w:pPr>
        <w:sectPr>
          <w:pgSz w:w="11900" w:h="16838" w:orient="portrait"/>
          <w:cols w:equalWidth="0" w:num="1">
            <w:col w:w="11080"/>
          </w:cols>
          <w:pgMar w:left="320" w:top="455" w:right="4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1334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8970" cy="613346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227" w:lineRule="exact"/>
        <w:rPr>
          <w:sz w:val="20"/>
          <w:szCs w:val="20"/>
          <w:color w:val="auto"/>
        </w:rPr>
      </w:pPr>
    </w:p>
    <w:p>
      <w:pPr>
        <w:ind w:left="300" w:right="60" w:firstLine="426"/>
        <w:spacing w:after="0" w:line="255"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about us and this offering and does not contain all of the information that you should consider before investing in our common stock. You should read this prospectus supplement, the accompanying prospectus and the documents incorporated by reference herein and therein carefully, especially those associated with the risks of investing in our common stock discussed under “Risk Factors” beginning on page S-7 of this prospectus supplement and in the section entitled “Risk Factors” of our quarterly report on Form 10-Q for the quarter ended March 31, 2024, filed with the SEC on May 9, 2024, and any subsequent reports we file with the SEC after the date of this prospectus supplement, which are incorporated by reference in this prospectus supplement, along with our consolidated financial statements and notes to those consolidated financial statements and the other information incorporated by reference in this prospectus supplement, before making an investment decision.</w:t>
      </w:r>
    </w:p>
    <w:p>
      <w:pPr>
        <w:spacing w:after="0" w:line="39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ind w:left="300" w:right="40" w:firstLine="426"/>
        <w:spacing w:after="0" w:line="253" w:lineRule="auto"/>
        <w:rPr>
          <w:sz w:val="20"/>
          <w:szCs w:val="20"/>
          <w:color w:val="auto"/>
        </w:rPr>
      </w:pPr>
      <w:r>
        <w:rPr>
          <w:rFonts w:ascii="Times New Roman" w:cs="Times New Roman" w:eastAsia="Times New Roman" w:hAnsi="Times New Roman"/>
          <w:sz w:val="18"/>
          <w:szCs w:val="18"/>
          <w:color w:val="auto"/>
        </w:rPr>
        <w:t>We are a clinical-stage biopharmaceutical company focused on the discovery, development, and commercialization of novel treatments for patients suffering from serious hematologic diseases. We have assembled a portfolio of clinical and preclinical product candidates that aim to modify fundamental biological pathways associated with the formation and function of red blood cells, specifically heme biosynthesis and iron homeostasis. Our current pipeline includes bitopertin for the treatment of erythropoietic porphyrias, or EPs, including erythropoietic protoporphyria, or EPP, and X-linked protoporphyria, or XLP, and Diamond-Blackfan Anemia, or DBA; DISC-0974 for the treatment of anemia of myelofibrosis, or MF, and anemia of chronic kidney disease, or CKD; and DISC-3405 (formerly MWTX-003) for the treatment of polycythemia vera, or PV, and other hematologic disorders. In addition, our preclinical programs also include DISC-0998, for the treatment of anemia associated with inflammatory diseases. Our approach to product candidate development leverages well-understood molecular mechanisms that have been validated in humans. We believe that each of our product candidates, if approved, has the potential to improve the lives of patients suffering from hematologic diseases.</w:t>
      </w:r>
    </w:p>
    <w:p>
      <w:pPr>
        <w:spacing w:after="0" w:line="194" w:lineRule="exact"/>
        <w:rPr>
          <w:sz w:val="20"/>
          <w:szCs w:val="20"/>
          <w:color w:val="auto"/>
        </w:rPr>
      </w:pPr>
    </w:p>
    <w:p>
      <w:pPr>
        <w:ind w:left="300" w:firstLine="426"/>
        <w:spacing w:after="0" w:line="253" w:lineRule="auto"/>
        <w:rPr>
          <w:sz w:val="20"/>
          <w:szCs w:val="20"/>
          <w:color w:val="auto"/>
        </w:rPr>
      </w:pPr>
      <w:r>
        <w:rPr>
          <w:rFonts w:ascii="Times New Roman" w:cs="Times New Roman" w:eastAsia="Times New Roman" w:hAnsi="Times New Roman"/>
          <w:sz w:val="18"/>
          <w:szCs w:val="18"/>
          <w:color w:val="auto"/>
        </w:rPr>
        <w:t>Bitopertin is the lead product candidate in our heme biosynthesis modulation portfolio. Bitopertin was previously evaluated by F. Hoffmann-La Roche Ltd and Hoffmann-La Roche Inc., or collectively, Roche, in a comprehensive clinical program in over 4,000 individuals in other indications which demonstrated the activity of bitopertin as a glycine transporter 1, or GlyT1, inhibitor and its effect on heme biosynthesis. We are initially developing bitopertin for the treatment of EPs, including EPP and XLP. In July 2022, we initiated BEACON, a Phase 2 open-label, parallel-dose clinical trial of bitopertin in EPP and XLP patients that was conducted at sites in Australia. In October 2022, we initiated AURORA, a Phase 2, randomized, double-blind, placebo-controlled clinical trial of bitopertin in EPP patients that was conducted at sites in the United States. We presented interim data from BEACON in June and December 2023 and additional data analyses in June 2024, and we presented topline data from AURORA in April 2024 and additional data analyses in June 2024. We expect to have regulatory interactions to help define registrational endpoints moving forward in EPP in the second half of 2024. We entered into a collaborative research and development agreement with the National Institutes of Health, or NIH, to conduct an NIH-sponsored clinical trial of bitopertin in DBA. The FDA authorized the clinical trial to proceed and the trial began in July 2023. We are planning additional trials of bitopertin in other indications.</w:t>
      </w:r>
    </w:p>
    <w:p>
      <w:pPr>
        <w:spacing w:after="0" w:line="192" w:lineRule="exact"/>
        <w:rPr>
          <w:sz w:val="20"/>
          <w:szCs w:val="20"/>
          <w:color w:val="auto"/>
        </w:rPr>
      </w:pPr>
    </w:p>
    <w:p>
      <w:pPr>
        <w:ind w:left="300" w:right="100" w:firstLine="426"/>
        <w:spacing w:after="0" w:line="256" w:lineRule="auto"/>
        <w:rPr>
          <w:sz w:val="20"/>
          <w:szCs w:val="20"/>
          <w:color w:val="auto"/>
        </w:rPr>
      </w:pPr>
      <w:r>
        <w:rPr>
          <w:rFonts w:ascii="Times New Roman" w:cs="Times New Roman" w:eastAsia="Times New Roman" w:hAnsi="Times New Roman"/>
          <w:sz w:val="18"/>
          <w:szCs w:val="18"/>
          <w:color w:val="auto"/>
        </w:rPr>
        <w:t>DISC-0974 is the lead product candidate in our iron homeostasis portfolio and was in-licensed from AbbVie Deutschland GmbH &amp; Co. KG, or AbbVie. DISC-0974 is designed to suppress hepcidin production and increase serum iron levels. We submitted an IND to the FDA for DISC-0974 in June 2021, received clearance in July 2021, and participants completed a Phase 1 clinical trial in healthy volunteers in the U.S. in June 2022 with results showing an acceptable tolerability profile and evidence of target engagement, iron mobilization and augmented erythropoiesis. We initiated a Phase 1b/2 clinical trial in June 2022 in patients with anemia of MF, and initiated a separate Phase 1b/2 clinical trial in February 2023 in patients with non-dialysis dependent CKD</w:t>
      </w:r>
    </w:p>
    <w:p>
      <w:pPr>
        <w:spacing w:after="0" w:line="29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0940"/>
          </w:cols>
          <w:pgMar w:left="320" w:top="455" w:right="6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4160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8970" cy="64160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0"/>
        <w:spacing w:after="0" w:line="256" w:lineRule="auto"/>
        <w:rPr>
          <w:sz w:val="20"/>
          <w:szCs w:val="20"/>
          <w:color w:val="auto"/>
        </w:rPr>
      </w:pPr>
      <w:r>
        <w:rPr>
          <w:rFonts w:ascii="Times New Roman" w:cs="Times New Roman" w:eastAsia="Times New Roman" w:hAnsi="Times New Roman"/>
          <w:sz w:val="18"/>
          <w:szCs w:val="18"/>
          <w:color w:val="auto"/>
        </w:rPr>
        <w:t>and anemia. We presented interim data from both of these trials in December 2023 and additional interim data for anemia of MF in June 2024, including safety and changes in hepcidin, iron, and hemoglobin levels for additional patients, as well as longer follow-up. We anticipate presenting additional interim data for non-dialysis dependent CKD and anemia in second half of 2024. In addition, we are developing a preclinical anti-hemojuvelin, or HJV, monoclonal antibody, DISC-0998, which also targets hepcidin suppression and was in-licensed from AbbVie. DISC-0998 is designed to increase serum iron levels and have an extended serum half-life as compared to DISC-0974. We believe this profile may be desirable in certain subsets of patients with anemia associated with inflammatory diseases.</w:t>
      </w:r>
    </w:p>
    <w:p>
      <w:pPr>
        <w:spacing w:after="0" w:line="187"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color w:val="auto"/>
        </w:rPr>
        <w:t>Lastly, we are developing DISC-3405, a monoclonal antibody against Transmembrane Serine Protease 6, or TMPRSS6, that we licensed from Mabwell Therapeutics, Inc., or Mabwell. DISC-3405 is part of our iron homeostasis portfolio and is designed to induce hepcidin production and reduce serum iron levels. An IND for DISC-3405 was cleared by the FDA, and a Phase 1 clinical trial in healthy adult volunteers was initiated in October 2023. Interim data was presented in June 2024. We anticipate presenting additional interim data in the second half of 2024. We expect to develop DISC-3405 for the treatment of PV and other hematologic disorders.</w:t>
      </w:r>
    </w:p>
    <w:p>
      <w:pPr>
        <w:spacing w:after="0" w:line="39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9" w:lineRule="exact"/>
        <w:rPr>
          <w:sz w:val="20"/>
          <w:szCs w:val="20"/>
          <w:color w:val="auto"/>
        </w:rPr>
      </w:pPr>
    </w:p>
    <w:p>
      <w:pPr>
        <w:ind w:left="300" w:right="360" w:firstLine="426"/>
        <w:spacing w:after="0" w:line="266" w:lineRule="auto"/>
        <w:rPr>
          <w:sz w:val="20"/>
          <w:szCs w:val="20"/>
          <w:color w:val="auto"/>
        </w:rPr>
      </w:pPr>
      <w:r>
        <w:rPr>
          <w:rFonts w:ascii="Times New Roman" w:cs="Times New Roman" w:eastAsia="Times New Roman" w:hAnsi="Times New Roman"/>
          <w:sz w:val="18"/>
          <w:szCs w:val="18"/>
          <w:color w:val="auto"/>
        </w:rPr>
        <w:t>On June 14, 2024, we announced (i) updated analyses of data from our ongoing Phase 2 open-label AURORA and BEACON trials evaluating bitopertin in patients with EPP, (ii) additional data from our ongoing Phase 1b study of DISC-0974 in patients with MF anemia, and (iii) initial data from SAD cohorts in our ongoing Phase 1 study of DISC-3405.</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u w:val="single" w:color="auto"/>
          <w:color w:val="auto"/>
        </w:rPr>
        <w:t>Bitopertin in EPP</w:t>
      </w:r>
    </w:p>
    <w:p>
      <w:pPr>
        <w:spacing w:after="0" w:line="121" w:lineRule="exact"/>
        <w:rPr>
          <w:sz w:val="20"/>
          <w:szCs w:val="20"/>
          <w:color w:val="auto"/>
        </w:rPr>
      </w:pPr>
    </w:p>
    <w:p>
      <w:pPr>
        <w:ind w:left="300" w:right="40" w:firstLine="426"/>
        <w:spacing w:after="0" w:line="266" w:lineRule="auto"/>
        <w:rPr>
          <w:sz w:val="20"/>
          <w:szCs w:val="20"/>
          <w:color w:val="auto"/>
        </w:rPr>
      </w:pPr>
      <w:r>
        <w:rPr>
          <w:rFonts w:ascii="Times New Roman" w:cs="Times New Roman" w:eastAsia="Times New Roman" w:hAnsi="Times New Roman"/>
          <w:sz w:val="18"/>
          <w:szCs w:val="18"/>
          <w:color w:val="auto"/>
        </w:rPr>
        <w:t>The AURORA study is a randomized, double-blind, placebo-controlled Phase 2 clinical trial that enrolled 75 adult subjects with EPP. Subjects were randomized 1:1:1 to receive 20 mg of bitopertin (n=26), 60 mg of bitopertin (n=25), or placebo (n=24) once daily for 17 weeks. Key AURORA data presented include:</w:t>
      </w:r>
    </w:p>
    <w:p>
      <w:pPr>
        <w:spacing w:after="0" w:line="81" w:lineRule="exact"/>
        <w:rPr>
          <w:sz w:val="20"/>
          <w:szCs w:val="20"/>
          <w:color w:val="auto"/>
        </w:rPr>
      </w:pPr>
    </w:p>
    <w:p>
      <w:pPr>
        <w:ind w:left="1240" w:hanging="415"/>
        <w:spacing w:after="0"/>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reductions in protoporphyrin IX (PPIX) (40% for the 60 mg group) compared to placebo</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Meaningful improvements on key aspects of EPP</w:t>
      </w:r>
    </w:p>
    <w:p>
      <w:pPr>
        <w:spacing w:after="0" w:line="130" w:lineRule="exact"/>
        <w:rPr>
          <w:rFonts w:ascii="Times New Roman" w:cs="Times New Roman" w:eastAsia="Times New Roman" w:hAnsi="Times New Roman"/>
          <w:sz w:val="18"/>
          <w:szCs w:val="18"/>
          <w:color w:val="auto"/>
        </w:rPr>
      </w:pPr>
    </w:p>
    <w:p>
      <w:pPr>
        <w:ind w:left="1640" w:right="20" w:hanging="289"/>
        <w:spacing w:after="0" w:line="282" w:lineRule="auto"/>
        <w:tabs>
          <w:tab w:leader="none" w:pos="16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Time-dependent improvement in light tolerance that was nominally significant compared to placebo in both the 20 mg (p=0.026) and 60 mg (p=0.013) dose groups</w:t>
      </w:r>
    </w:p>
    <w:p>
      <w:pPr>
        <w:spacing w:after="0" w:line="67" w:lineRule="exact"/>
        <w:rPr>
          <w:rFonts w:ascii="Times New Roman" w:cs="Times New Roman" w:eastAsia="Times New Roman" w:hAnsi="Times New Roman"/>
          <w:sz w:val="18"/>
          <w:szCs w:val="18"/>
          <w:color w:val="auto"/>
        </w:rPr>
      </w:pPr>
    </w:p>
    <w:p>
      <w:pPr>
        <w:ind w:left="1640" w:right="680" w:hanging="289"/>
        <w:spacing w:after="0" w:line="282" w:lineRule="auto"/>
        <w:tabs>
          <w:tab w:leader="none" w:pos="16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~2x improvement in light tolerance relative to baseline in both 20 mg and 60 mg dose groups as evaluated in a post-hoc longitudinal analysis</w:t>
      </w:r>
    </w:p>
    <w:p>
      <w:pPr>
        <w:spacing w:after="0" w:line="67" w:lineRule="exact"/>
        <w:rPr>
          <w:rFonts w:ascii="Times New Roman" w:cs="Times New Roman" w:eastAsia="Times New Roman" w:hAnsi="Times New Roman"/>
          <w:sz w:val="18"/>
          <w:szCs w:val="18"/>
          <w:color w:val="auto"/>
        </w:rPr>
      </w:pPr>
    </w:p>
    <w:p>
      <w:pPr>
        <w:ind w:left="1640" w:right="200" w:hanging="289"/>
        <w:spacing w:after="0" w:line="282" w:lineRule="auto"/>
        <w:tabs>
          <w:tab w:leader="none" w:pos="16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dose-dependent reductions in rate of phototoxic reactions compared to placebo, reaching statistical significance in the 60 mg dose group (75.3% reduction, p=0.011)</w:t>
      </w:r>
    </w:p>
    <w:p>
      <w:pPr>
        <w:spacing w:after="0" w:line="67" w:lineRule="exact"/>
        <w:rPr>
          <w:rFonts w:ascii="Times New Roman" w:cs="Times New Roman" w:eastAsia="Times New Roman" w:hAnsi="Times New Roman"/>
          <w:sz w:val="18"/>
          <w:szCs w:val="18"/>
          <w:color w:val="auto"/>
        </w:rPr>
      </w:pPr>
    </w:p>
    <w:p>
      <w:pPr>
        <w:ind w:left="1640" w:right="240" w:hanging="289"/>
        <w:spacing w:after="0" w:line="282" w:lineRule="auto"/>
        <w:tabs>
          <w:tab w:leader="none" w:pos="16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Dose-dependent improvements in Patient Global Impression of Change (PGIC), which were statistically significant for the 60 mg dose (p=0.022)</w:t>
      </w:r>
    </w:p>
    <w:p>
      <w:pPr>
        <w:spacing w:after="0" w:line="67" w:lineRule="exact"/>
        <w:rPr>
          <w:rFonts w:ascii="Times New Roman" w:cs="Times New Roman" w:eastAsia="Times New Roman" w:hAnsi="Times New Roman"/>
          <w:sz w:val="18"/>
          <w:szCs w:val="18"/>
          <w:color w:val="auto"/>
        </w:rPr>
      </w:pPr>
    </w:p>
    <w:p>
      <w:pPr>
        <w:ind w:left="1240" w:right="260" w:hanging="415"/>
        <w:spacing w:after="0" w:line="282"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Evaluation of the time course of phototoxic reactions and sunlight exposure showed greater treatment effect in the time period after PPIX nadir was reached, including elimination of observed phototoxic reactions in the 60 mg dose group</w:t>
      </w:r>
    </w:p>
    <w:p>
      <w:pPr>
        <w:spacing w:after="0" w:line="67" w:lineRule="exact"/>
        <w:rPr>
          <w:rFonts w:ascii="Times New Roman" w:cs="Times New Roman" w:eastAsia="Times New Roman" w:hAnsi="Times New Roman"/>
          <w:sz w:val="18"/>
          <w:szCs w:val="18"/>
          <w:color w:val="auto"/>
        </w:rPr>
      </w:pPr>
    </w:p>
    <w:p>
      <w:pPr>
        <w:ind w:left="1240" w:right="180" w:hanging="415"/>
        <w:spacing w:after="0" w:line="282"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PPIX reductions were associated with improvements in multiple light tolerance measures, including cumulative total time in light, average time in sunlight without pain, change from baseline in time to prodrome, as well as PGIC</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Bitopertin was generally well-tolerated with no reported serious adverse events (SAEs) to date</w:t>
      </w:r>
    </w:p>
    <w:p>
      <w:pPr>
        <w:spacing w:after="0" w:line="33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0940"/>
          </w:cols>
          <w:pgMar w:left="320" w:top="455" w:right="6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7645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8970" cy="576453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140" w:hanging="415"/>
        <w:spacing w:after="0" w:line="282"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 also presented the full adult data set from BEACON, which was consistent with previously-presented results and demonstrated similar clinical activity to that observed in AURORA</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u w:val="single" w:color="auto"/>
          <w:color w:val="auto"/>
        </w:rPr>
        <w:t>DISC-0974 in MF</w:t>
      </w:r>
    </w:p>
    <w:p>
      <w:pPr>
        <w:spacing w:after="0" w:line="121" w:lineRule="exact"/>
        <w:rPr>
          <w:sz w:val="20"/>
          <w:szCs w:val="20"/>
          <w:color w:val="auto"/>
        </w:rPr>
      </w:pPr>
    </w:p>
    <w:p>
      <w:pPr>
        <w:ind w:left="300" w:right="460" w:firstLine="426"/>
        <w:spacing w:after="0" w:line="266" w:lineRule="auto"/>
        <w:rPr>
          <w:sz w:val="20"/>
          <w:szCs w:val="20"/>
          <w:color w:val="auto"/>
        </w:rPr>
      </w:pPr>
      <w:r>
        <w:rPr>
          <w:rFonts w:ascii="Times New Roman" w:cs="Times New Roman" w:eastAsia="Times New Roman" w:hAnsi="Times New Roman"/>
          <w:sz w:val="18"/>
          <w:szCs w:val="18"/>
          <w:color w:val="auto"/>
        </w:rPr>
        <w:t>The Phase 1b/2a multi-center, open-label, ascending-dose clinical trial of DISC-0974 is enrolling patients with MF and severe anemia, including both transfusion and non-transfusion dependent patients. In the phase 1b dose-escalation phase, DISC-0974 is administered subcutaneously every 4 weeks for up to 6 treatments. Updated data from 34 patients with an April 29, 2024 cutoff include:</w:t>
      </w:r>
    </w:p>
    <w:p>
      <w:pPr>
        <w:spacing w:after="0" w:line="81" w:lineRule="exact"/>
        <w:rPr>
          <w:sz w:val="20"/>
          <w:szCs w:val="20"/>
          <w:color w:val="auto"/>
        </w:rPr>
      </w:pPr>
    </w:p>
    <w:p>
      <w:pPr>
        <w:ind w:left="1240" w:right="260" w:hanging="415"/>
        <w:spacing w:after="0" w:line="282" w:lineRule="auto"/>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and sustained reductions in hepcidin levels and increases in iron were observed in patients for several weeks after each dose</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 hematologic response was observed across all patient types at 28-100 mg doses:</w:t>
      </w:r>
    </w:p>
    <w:p>
      <w:pPr>
        <w:spacing w:after="0" w:line="130" w:lineRule="exact"/>
        <w:rPr>
          <w:rFonts w:ascii="Times New Roman" w:cs="Times New Roman" w:eastAsia="Times New Roman" w:hAnsi="Times New Roman"/>
          <w:sz w:val="18"/>
          <w:szCs w:val="18"/>
          <w:color w:val="auto"/>
        </w:rPr>
      </w:pPr>
    </w:p>
    <w:p>
      <w:pPr>
        <w:ind w:left="1640" w:hanging="289"/>
        <w:spacing w:after="0"/>
        <w:tabs>
          <w:tab w:leader="none" w:pos="16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68.9% of non-transfusion dependent (nTD) participants demonstrated a hemoglobin response of ≥1.5 g/dL (n=29)</w:t>
      </w:r>
    </w:p>
    <w:p>
      <w:pPr>
        <w:spacing w:after="0" w:line="130" w:lineRule="exact"/>
        <w:rPr>
          <w:rFonts w:ascii="Times New Roman" w:cs="Times New Roman" w:eastAsia="Times New Roman" w:hAnsi="Times New Roman"/>
          <w:sz w:val="18"/>
          <w:szCs w:val="18"/>
          <w:color w:val="auto"/>
        </w:rPr>
      </w:pPr>
    </w:p>
    <w:p>
      <w:pPr>
        <w:ind w:left="1640" w:right="340" w:hanging="289"/>
        <w:spacing w:after="0" w:line="282" w:lineRule="auto"/>
        <w:tabs>
          <w:tab w:leader="none" w:pos="16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 of nTD participants who have completed at least 16 weeks of treatment had a mean hemoglobin response of ≥1.5 g/dL above baseline sustained for at least 12 weeks (n=15)</w:t>
      </w:r>
    </w:p>
    <w:p>
      <w:pPr>
        <w:spacing w:after="0" w:line="67" w:lineRule="exact"/>
        <w:rPr>
          <w:rFonts w:ascii="Times New Roman" w:cs="Times New Roman" w:eastAsia="Times New Roman" w:hAnsi="Times New Roman"/>
          <w:sz w:val="18"/>
          <w:szCs w:val="18"/>
          <w:color w:val="auto"/>
        </w:rPr>
      </w:pPr>
    </w:p>
    <w:p>
      <w:pPr>
        <w:ind w:left="1640" w:hanging="289"/>
        <w:spacing w:after="0"/>
        <w:tabs>
          <w:tab w:leader="none" w:pos="16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of two evaluable transfusion dependent (TD) participants became transfusion independent (TI) by the end of the trial</w:t>
      </w:r>
    </w:p>
    <w:p>
      <w:pPr>
        <w:spacing w:after="0" w:line="130" w:lineRule="exact"/>
        <w:rPr>
          <w:rFonts w:ascii="Times New Roman" w:cs="Times New Roman" w:eastAsia="Times New Roman" w:hAnsi="Times New Roman"/>
          <w:sz w:val="18"/>
          <w:szCs w:val="18"/>
          <w:color w:val="auto"/>
        </w:rPr>
      </w:pPr>
    </w:p>
    <w:p>
      <w:pPr>
        <w:ind w:left="1640" w:hanging="289"/>
        <w:spacing w:after="0"/>
        <w:tabs>
          <w:tab w:leader="none" w:pos="16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Hemoglobin response of ≥1.5 g/dL above baseline was achieved in 6 of 10 participants with concomitant JAK inhibitor therapy</w:t>
      </w:r>
    </w:p>
    <w:p>
      <w:pPr>
        <w:spacing w:after="0" w:line="130" w:lineRule="exact"/>
        <w:rPr>
          <w:rFonts w:ascii="Times New Roman" w:cs="Times New Roman" w:eastAsia="Times New Roman" w:hAnsi="Times New Roman"/>
          <w:sz w:val="18"/>
          <w:szCs w:val="18"/>
          <w:color w:val="auto"/>
        </w:rPr>
      </w:pPr>
    </w:p>
    <w:p>
      <w:pPr>
        <w:ind w:left="1640" w:right="180" w:hanging="289"/>
        <w:spacing w:after="0" w:line="282" w:lineRule="auto"/>
        <w:tabs>
          <w:tab w:leader="none" w:pos="16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evaluable participants with baseline transfusion requirements demonstrated at least a 50% reduction in transfusions over a rolling 8-week window on trial compared to baseline (n=8)</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DISC-0974 was generally well-tolerated at all evaluated dose levels</w:t>
      </w: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u w:val="single" w:color="auto"/>
          <w:color w:val="auto"/>
        </w:rPr>
        <w:t>DISC-3405</w:t>
      </w:r>
    </w:p>
    <w:p>
      <w:pPr>
        <w:spacing w:after="0" w:line="121" w:lineRule="exact"/>
        <w:rPr>
          <w:sz w:val="20"/>
          <w:szCs w:val="20"/>
          <w:color w:val="auto"/>
        </w:rPr>
      </w:pPr>
    </w:p>
    <w:p>
      <w:pPr>
        <w:ind w:left="300" w:right="200" w:firstLine="426"/>
        <w:spacing w:after="0" w:line="266" w:lineRule="auto"/>
        <w:rPr>
          <w:sz w:val="20"/>
          <w:szCs w:val="20"/>
          <w:color w:val="auto"/>
        </w:rPr>
      </w:pPr>
      <w:r>
        <w:rPr>
          <w:rFonts w:ascii="Times New Roman" w:cs="Times New Roman" w:eastAsia="Times New Roman" w:hAnsi="Times New Roman"/>
          <w:sz w:val="18"/>
          <w:szCs w:val="18"/>
          <w:color w:val="auto"/>
        </w:rPr>
        <w:t>Initial data were also presented from the SAD portion of the Phase 1 clinical trial of DISC-3405 in healthy volunteers. In this trial, healthy males and females ages 18 to 65 were given a single dose of placebo (n=10) or DISC-3405 at 75 mg intravenously (IV) (n=6), 37.5 mg subcutaneously (SC) (n=6), 75 mg SC (n=6), 150 mg SC (n=6), or 300 mg SC (n=6). This initial data showed:</w:t>
      </w:r>
    </w:p>
    <w:p>
      <w:pPr>
        <w:spacing w:after="0" w:line="81" w:lineRule="exact"/>
        <w:rPr>
          <w:sz w:val="20"/>
          <w:szCs w:val="20"/>
          <w:color w:val="auto"/>
        </w:rPr>
      </w:pPr>
    </w:p>
    <w:p>
      <w:pPr>
        <w:ind w:left="1240" w:hanging="415"/>
        <w:spacing w:after="0"/>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meaningful dose-dependent increase in hepcidin and corresponding reduction in serum iron across all dose levels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Mean serum iron reduction in excess of 50% from baseline was achieved in the150- and 300-mg dose groups</w:t>
      </w:r>
    </w:p>
    <w:p>
      <w:pPr>
        <w:spacing w:after="0" w:line="130" w:lineRule="exact"/>
        <w:rPr>
          <w:rFonts w:ascii="Times New Roman" w:cs="Times New Roman" w:eastAsia="Times New Roman" w:hAnsi="Times New Roman"/>
          <w:sz w:val="18"/>
          <w:szCs w:val="18"/>
          <w:color w:val="auto"/>
        </w:rPr>
      </w:pPr>
    </w:p>
    <w:p>
      <w:pPr>
        <w:ind w:left="1240" w:hanging="415"/>
        <w:spacing w:after="0" w:line="282" w:lineRule="auto"/>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Mean serum iron reduction in excess of 50% was sustained for at least 4 weeks for the 300-mg dose group, with meaningful reduction observed in selective hematological parameters (CHr, hemoglobin, and hematocrit)</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PK/PD profile is supportive of monthly subcutaneous dosing.</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DISC-3405 was generally well-tolerated with no SAEs, AEs higher than Grade 2, or AEs leading to trial withdrawal reported to date</w:t>
      </w:r>
    </w:p>
    <w:p>
      <w:pPr>
        <w:spacing w:after="0" w:line="22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Bitopertin, DISC-0974, and DISC-3405 are investigational agents and are not approved for use as therapies in any jurisdiction worldwide.</w:t>
      </w:r>
    </w:p>
    <w:p>
      <w:pPr>
        <w:spacing w:after="0" w:line="33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S-3</w:t>
      </w:r>
    </w:p>
    <w:p>
      <w:pPr>
        <w:sectPr>
          <w:pgSz w:w="11900" w:h="16838" w:orient="portrait"/>
          <w:cols w:equalWidth="0" w:num="1">
            <w:col w:w="10880"/>
          </w:cols>
          <w:pgMar w:left="320" w:top="455" w:right="6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1733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8970" cy="517334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CORPORATE HISTORY AND INFORMATION</w:t>
      </w:r>
    </w:p>
    <w:p>
      <w:pPr>
        <w:spacing w:after="0" w:line="229" w:lineRule="exact"/>
        <w:rPr>
          <w:sz w:val="20"/>
          <w:szCs w:val="20"/>
          <w:color w:val="auto"/>
        </w:rPr>
      </w:pPr>
    </w:p>
    <w:p>
      <w:pPr>
        <w:ind w:left="300" w:right="120" w:firstLine="426"/>
        <w:spacing w:after="0" w:line="255" w:lineRule="auto"/>
        <w:rPr>
          <w:sz w:val="20"/>
          <w:szCs w:val="20"/>
          <w:color w:val="auto"/>
        </w:rPr>
      </w:pPr>
      <w:r>
        <w:rPr>
          <w:rFonts w:ascii="Times New Roman" w:cs="Times New Roman" w:eastAsia="Times New Roman" w:hAnsi="Times New Roman"/>
          <w:sz w:val="18"/>
          <w:szCs w:val="18"/>
          <w:color w:val="auto"/>
        </w:rPr>
        <w:t>Disc Medicine, Inc. was originally incorporated under the laws of the state of Delaware in October 2017, and changed its name to Disc Medicine Opco, Inc., or Disc Opco, in December 2022. On December 29, 2022, we completed our business combination with Gemini Therapeutics, Inc., or Gemini, in accordance with the terms of the Agreement and Plan of Merger and Reorganization, dated as of August 9, 2022, or the Merger Agreement, by and among Gemini, us and Gemstone Merger Sub, Inc., a Delaware corporation and a wholly owned subsidiary of Gemini, Merger Sub, pursuant to which, among other matters, Merger Sub merged with and into Disc Opco, with Disc Opco continuing as a wholly owned subsidiary of us and the surviving corporation of the merger, or the Merger. In connection with the closing of the Merger, Gemini changed its name to Disc Medicine, Inc.</w:t>
      </w:r>
    </w:p>
    <w:p>
      <w:pPr>
        <w:spacing w:after="0" w:line="189" w:lineRule="exact"/>
        <w:rPr>
          <w:sz w:val="20"/>
          <w:szCs w:val="20"/>
          <w:color w:val="auto"/>
        </w:rPr>
      </w:pPr>
    </w:p>
    <w:p>
      <w:pPr>
        <w:ind w:left="300" w:firstLine="426"/>
        <w:spacing w:after="0" w:line="261" w:lineRule="auto"/>
        <w:rPr>
          <w:sz w:val="20"/>
          <w:szCs w:val="20"/>
          <w:color w:val="auto"/>
        </w:rPr>
      </w:pPr>
      <w:r>
        <w:rPr>
          <w:rFonts w:ascii="Times New Roman" w:cs="Times New Roman" w:eastAsia="Times New Roman" w:hAnsi="Times New Roman"/>
          <w:sz w:val="18"/>
          <w:szCs w:val="18"/>
          <w:color w:val="auto"/>
        </w:rPr>
        <w:t>Our principal executive offices are located at 321 Arsenal Street, Suite 101, Watertown, MA 02472, and our telephone number is (617) 674-9274. We maintain an Internet website at the following address: www.discmedicine.com. Information contained on our website is not incorporated by reference into this prospectus supplement or the accompanying prospectus, and you should not consider any information on, or that can be accessed from, our website as part of this prospectus supplement or the accompanying prospectus.</w:t>
      </w:r>
    </w:p>
    <w:p>
      <w:pPr>
        <w:spacing w:after="0" w:line="39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 AND A SMALLER REPORTING COMPANY</w:t>
      </w:r>
    </w:p>
    <w:p>
      <w:pPr>
        <w:spacing w:after="0" w:line="229" w:lineRule="exact"/>
        <w:rPr>
          <w:sz w:val="20"/>
          <w:szCs w:val="20"/>
          <w:color w:val="auto"/>
        </w:rPr>
      </w:pPr>
    </w:p>
    <w:p>
      <w:pPr>
        <w:ind w:left="300" w:right="80" w:firstLine="426"/>
        <w:spacing w:after="0" w:line="271" w:lineRule="auto"/>
        <w:rPr>
          <w:sz w:val="20"/>
          <w:szCs w:val="20"/>
          <w:color w:val="auto"/>
        </w:rPr>
      </w:pPr>
      <w:r>
        <w:rPr>
          <w:rFonts w:ascii="Times New Roman" w:cs="Times New Roman" w:eastAsia="Times New Roman" w:hAnsi="Times New Roman"/>
          <w:sz w:val="17"/>
          <w:szCs w:val="17"/>
          <w:color w:val="auto"/>
        </w:rPr>
        <w:t>We are an “emerging growth company” as defined in the JOBS Act and may remain an emerging growth company until December 31, 2025, or until such earlier time as we have more than $1.235 billion in annual revenue, we become a “large accelerated filer” under SEC rules, or we issue more than $1 billion of non-convertible debt over a three-year period. The JOBS Act contains provisions that, among other things, reduce certain reporting requirements for an “emerging growth company.” For so long as we remain an emerging growth company, we are permitted and plan to rely on exemptions from certain disclosure requirements that are applicable to other public companies that are not emerging growth companies. These exemptions include being permitted to only disclose two years of audited financial statements in addition to any required unaudited interim financial statements with correspondingly reduced “Management’s Discussion and Analysis of Financial Condition and Results of Operations” disclosure. We have taken advantage of certain reduced reporting requirements in this prospectus supplement. Accordingly, the information contained herein may be different than the information you receive from other public companies in which you hold stock.</w:t>
      </w:r>
    </w:p>
    <w:p>
      <w:pPr>
        <w:spacing w:after="0" w:line="173" w:lineRule="exact"/>
        <w:rPr>
          <w:sz w:val="20"/>
          <w:szCs w:val="20"/>
          <w:color w:val="auto"/>
        </w:rPr>
      </w:pPr>
    </w:p>
    <w:p>
      <w:pPr>
        <w:ind w:left="300" w:firstLine="426"/>
        <w:spacing w:after="0" w:line="254" w:lineRule="auto"/>
        <w:rPr>
          <w:sz w:val="20"/>
          <w:szCs w:val="20"/>
          <w:color w:val="auto"/>
        </w:rPr>
      </w:pPr>
      <w:r>
        <w:rPr>
          <w:rFonts w:ascii="Times New Roman" w:cs="Times New Roman" w:eastAsia="Times New Roman" w:hAnsi="Times New Roman"/>
          <w:sz w:val="18"/>
          <w:szCs w:val="18"/>
          <w:color w:val="auto"/>
        </w:rPr>
        <w:t>We are also a “smaller reporting company,” meaning that the market value of our stock held by non-affiliates is less than $700 million and our annual revenue was less than $100 million during the most recently completed fiscal year. We may continue to be a smaller reporting company if either (i) the market value of our stock held by non-affiliates is less than $250 million or (ii) our annual revenue was less than $100 million during the most recently completed fiscal year and the market value of our stock held by non-affiliates was less than $700 million. If we are a smaller reporting company at the time we cease to be an emerging growth company, we may continue to rely on exemptions from certain disclosure requirements that are available to smaller reporting companies. For so long as we remain a smaller reporting company, we are permitted and intend to rely on exemptions from certain disclosure and other requirements that are applicable to other public companies that are not applicable to a smaller reporting company.</w:t>
      </w:r>
    </w:p>
    <w:p>
      <w:pPr>
        <w:spacing w:after="0" w:line="30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S-4</w:t>
      </w:r>
    </w:p>
    <w:p>
      <w:pPr>
        <w:sectPr>
          <w:pgSz w:w="11900" w:h="16838" w:orient="portrait"/>
          <w:cols w:equalWidth="0" w:num="1">
            <w:col w:w="10940"/>
          </w:cols>
          <w:pgMar w:left="320" w:top="455" w:right="6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9620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8970" cy="596201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THE OFFERING</w:t>
      </w:r>
    </w:p>
    <w:p>
      <w:pPr>
        <w:sectPr>
          <w:pgSz w:w="11900" w:h="16838" w:orient="portrait"/>
          <w:cols w:equalWidth="0" w:num="1">
            <w:col w:w="10920"/>
          </w:cols>
          <w:pgMar w:left="320" w:top="455" w:right="659" w:bottom="1440" w:gutter="0" w:footer="0" w:header="0"/>
        </w:sectPr>
      </w:pPr>
    </w:p>
    <w:p>
      <w:pPr>
        <w:spacing w:after="0" w:line="1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Common stock offered by us</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4,944,000 shares.</w:t>
      </w:r>
    </w:p>
    <w:p>
      <w:pPr>
        <w:spacing w:after="0" w:line="200" w:lineRule="exact"/>
        <w:rPr>
          <w:sz w:val="20"/>
          <w:szCs w:val="20"/>
          <w:color w:val="auto"/>
        </w:rPr>
      </w:pPr>
    </w:p>
    <w:p>
      <w:pPr>
        <w:sectPr>
          <w:pgSz w:w="11900" w:h="16838" w:orient="portrait"/>
          <w:cols w:equalWidth="0" w:num="2">
            <w:col w:w="3620" w:space="720"/>
            <w:col w:w="6580"/>
          </w:cols>
          <w:pgMar w:left="320" w:top="455" w:right="659" w:bottom="1440" w:gutter="0" w:footer="0" w:header="0"/>
          <w:type w:val="continuous"/>
        </w:sectPr>
      </w:pPr>
    </w:p>
    <w:p>
      <w:pPr>
        <w:spacing w:after="0" w:line="1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Common stock to be outstanding immediately after this 29,639,885 shares.</w:t>
      </w:r>
    </w:p>
    <w:p>
      <w:pPr>
        <w:spacing w:after="0" w:line="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offering</w:t>
      </w:r>
    </w:p>
    <w:p>
      <w:pPr>
        <w:sectPr>
          <w:pgSz w:w="11900" w:h="16838" w:orient="portrait"/>
          <w:cols w:equalWidth="0" w:num="1">
            <w:col w:w="10920"/>
          </w:cols>
          <w:pgMar w:left="320" w:top="455" w:right="659" w:bottom="1440" w:gutter="0" w:footer="0" w:header="0"/>
          <w:type w:val="continuous"/>
        </w:sectPr>
      </w:pPr>
    </w:p>
    <w:p>
      <w:pPr>
        <w:spacing w:after="0" w:line="2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Use of proceeds</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currently intend to use the net proceeds from this offering together with our existing cash and cash equivalents, to fund research and clinical development of our current or additional product candidates, and the remainder for working capital and other general corporate purposes. We may also use a portion of the net proceeds to in-license, acquire or invest in complementary businesses or technologies to continue to build our pipeline, research and development capabilities and our intellectual property position. See “Use of Proceeds” on page S-12 of this prospectus supplement.</w:t>
      </w:r>
    </w:p>
    <w:p>
      <w:pPr>
        <w:spacing w:after="0" w:line="200" w:lineRule="exact"/>
        <w:rPr>
          <w:sz w:val="20"/>
          <w:szCs w:val="20"/>
          <w:color w:val="auto"/>
        </w:rPr>
      </w:pPr>
    </w:p>
    <w:p>
      <w:pPr>
        <w:sectPr>
          <w:pgSz w:w="11900" w:h="16838" w:orient="portrait"/>
          <w:cols w:equalWidth="0" w:num="2">
            <w:col w:w="3620" w:space="720"/>
            <w:col w:w="6580"/>
          </w:cols>
          <w:pgMar w:left="320" w:top="455" w:right="659" w:bottom="1440" w:gutter="0" w:footer="0" w:header="0"/>
          <w:type w:val="continuous"/>
        </w:sectPr>
      </w:pPr>
    </w:p>
    <w:p>
      <w:pPr>
        <w:spacing w:after="0" w:line="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Risk factors</w:t>
      </w:r>
    </w:p>
    <w:p>
      <w:pPr>
        <w:spacing w:after="0" w:line="20" w:lineRule="exact"/>
        <w:rPr>
          <w:sz w:val="20"/>
          <w:szCs w:val="20"/>
          <w:color w:val="auto"/>
        </w:rPr>
      </w:pPr>
      <w:r>
        <w:rPr>
          <w:sz w:val="20"/>
          <w:szCs w:val="20"/>
          <w:color w:val="auto"/>
        </w:rPr>
        <w:br w:type="column"/>
      </w:r>
    </w:p>
    <w:p>
      <w:pPr>
        <w:jc w:val="both"/>
        <w:spacing w:after="0" w:line="258" w:lineRule="auto"/>
        <w:rPr>
          <w:sz w:val="20"/>
          <w:szCs w:val="20"/>
          <w:color w:val="auto"/>
        </w:rPr>
      </w:pPr>
      <w:r>
        <w:rPr>
          <w:rFonts w:ascii="Times New Roman" w:cs="Times New Roman" w:eastAsia="Times New Roman" w:hAnsi="Times New Roman"/>
          <w:sz w:val="18"/>
          <w:szCs w:val="18"/>
          <w:color w:val="auto"/>
        </w:rPr>
        <w:t>Your investment involves a high degree of risk. You should read the “Risk Factors” section of this prospectus supplement beginning on page S-7 and in our Quarterly Report on Form 10-Q for the quarter ended March 31, 2024, as well as the other documents incorporated by reference in this prospectus supplement and the accompanying prospectus for a discussion of factors to consider carefully before deciding to invest in our securities.</w:t>
      </w:r>
    </w:p>
    <w:p>
      <w:pPr>
        <w:spacing w:after="0" w:line="200" w:lineRule="exact"/>
        <w:rPr>
          <w:sz w:val="20"/>
          <w:szCs w:val="20"/>
          <w:color w:val="auto"/>
        </w:rPr>
      </w:pPr>
    </w:p>
    <w:p>
      <w:pPr>
        <w:sectPr>
          <w:pgSz w:w="11900" w:h="16838" w:orient="portrait"/>
          <w:cols w:equalWidth="0" w:num="2">
            <w:col w:w="3620" w:space="720"/>
            <w:col w:w="6580"/>
          </w:cols>
          <w:pgMar w:left="320" w:top="455" w:right="659" w:bottom="1440" w:gutter="0" w:footer="0" w:header="0"/>
          <w:type w:val="continuous"/>
        </w:sectPr>
      </w:pPr>
    </w:p>
    <w:p>
      <w:pPr>
        <w:spacing w:after="0" w:line="1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Nasdaq Global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“IRON.”</w:t>
      </w:r>
    </w:p>
    <w:p>
      <w:pPr>
        <w:spacing w:after="0" w:line="211" w:lineRule="exact"/>
        <w:rPr>
          <w:sz w:val="20"/>
          <w:szCs w:val="20"/>
          <w:color w:val="auto"/>
        </w:rPr>
      </w:pPr>
    </w:p>
    <w:p>
      <w:pPr>
        <w:sectPr>
          <w:pgSz w:w="11900" w:h="16838" w:orient="portrait"/>
          <w:cols w:equalWidth="0" w:num="2">
            <w:col w:w="3620" w:space="720"/>
            <w:col w:w="6580"/>
          </w:cols>
          <w:pgMar w:left="320" w:top="455" w:right="659" w:bottom="1440" w:gutter="0" w:footer="0" w:header="0"/>
          <w:type w:val="continuous"/>
        </w:sectPr>
      </w:pPr>
    </w:p>
    <w:p>
      <w:pPr>
        <w:spacing w:after="0" w:line="39" w:lineRule="exact"/>
        <w:rPr>
          <w:sz w:val="20"/>
          <w:szCs w:val="20"/>
          <w:color w:val="auto"/>
        </w:rPr>
      </w:pPr>
    </w:p>
    <w:p>
      <w:pPr>
        <w:jc w:val="both"/>
        <w:ind w:left="300" w:right="140" w:firstLine="426"/>
        <w:spacing w:after="0" w:line="266" w:lineRule="auto"/>
        <w:rPr>
          <w:sz w:val="20"/>
          <w:szCs w:val="20"/>
          <w:color w:val="auto"/>
        </w:rPr>
      </w:pPr>
      <w:r>
        <w:rPr>
          <w:rFonts w:ascii="Times New Roman" w:cs="Times New Roman" w:eastAsia="Times New Roman" w:hAnsi="Times New Roman"/>
          <w:sz w:val="18"/>
          <w:szCs w:val="18"/>
          <w:color w:val="auto"/>
        </w:rPr>
        <w:t>The number of shares of our common stock that will be outstanding immediately after this offering as shown above is based on 24,695,885 shares outstanding as of March 31, 2024. The number of shares outstanding as of March 31, 2024 as used throughout this prospectus supplement, unless otherwise indicated, excludes:</w:t>
      </w:r>
    </w:p>
    <w:p>
      <w:pPr>
        <w:spacing w:after="0" w:line="81" w:lineRule="exact"/>
        <w:rPr>
          <w:sz w:val="20"/>
          <w:szCs w:val="20"/>
          <w:color w:val="auto"/>
        </w:rPr>
      </w:pPr>
    </w:p>
    <w:p>
      <w:pPr>
        <w:ind w:left="1240" w:right="540" w:hanging="415"/>
        <w:spacing w:after="0" w:line="282" w:lineRule="auto"/>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2,948,273 shares of common stock issuable upon the exercise of stock options outstanding as of March 31, 2024, at a weighted average exercise price of $24.23 per share;</w:t>
      </w:r>
    </w:p>
    <w:p>
      <w:pPr>
        <w:spacing w:after="0" w:line="67" w:lineRule="exact"/>
        <w:rPr>
          <w:rFonts w:ascii="Times New Roman" w:cs="Times New Roman" w:eastAsia="Times New Roman" w:hAnsi="Times New Roman"/>
          <w:sz w:val="18"/>
          <w:szCs w:val="18"/>
          <w:color w:val="auto"/>
        </w:rPr>
      </w:pPr>
    </w:p>
    <w:p>
      <w:pPr>
        <w:ind w:left="1240" w:right="440" w:hanging="415"/>
        <w:spacing w:after="0" w:line="282" w:lineRule="auto"/>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79,662 shares of common stock issuable upon the exercise of stock options granted subsequent to March 31, 2024, at a weighted average exercise price of $37.87 per share;</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368,714 shares of common stock issuable upon the vesting of restricted stock awards outstanding as of March 31, 2024;</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3,135 shares of common stock issuable upon the vesting of restricted stock awards granted subsequent to March 31, 2024;</w:t>
      </w:r>
    </w:p>
    <w:p>
      <w:pPr>
        <w:spacing w:after="0" w:line="130" w:lineRule="exact"/>
        <w:rPr>
          <w:rFonts w:ascii="Times New Roman" w:cs="Times New Roman" w:eastAsia="Times New Roman" w:hAnsi="Times New Roman"/>
          <w:sz w:val="18"/>
          <w:szCs w:val="18"/>
          <w:color w:val="auto"/>
        </w:rPr>
      </w:pPr>
    </w:p>
    <w:p>
      <w:pPr>
        <w:ind w:left="1240" w:right="140" w:hanging="415"/>
        <w:spacing w:after="0" w:line="282" w:lineRule="auto"/>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1,743,232 shares of common stock available for issuance under our Amended and Restated 2021 Stock Option and Incentive Plan as of March 31, 2024;</w:t>
      </w:r>
    </w:p>
    <w:p>
      <w:pPr>
        <w:spacing w:after="0" w:line="67" w:lineRule="exact"/>
        <w:rPr>
          <w:rFonts w:ascii="Times New Roman" w:cs="Times New Roman" w:eastAsia="Times New Roman" w:hAnsi="Times New Roman"/>
          <w:sz w:val="18"/>
          <w:szCs w:val="18"/>
          <w:color w:val="auto"/>
        </w:rPr>
      </w:pPr>
    </w:p>
    <w:p>
      <w:pPr>
        <w:ind w:left="1240" w:right="100" w:hanging="415"/>
        <w:spacing w:after="0" w:line="282" w:lineRule="auto"/>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260,272 shares of common stock available for future issuance under our Amended and Restated 2021 Employee Stock Purchase Plan as of March 31, 2024; and</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204,081 shares of common stock issuable upon the exercise of pre-funded warrants outstanding as of March 31, 2024.</w:t>
      </w:r>
    </w:p>
    <w:p>
      <w:pPr>
        <w:spacing w:after="0" w:line="33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S-5</w:t>
      </w:r>
    </w:p>
    <w:p>
      <w:pPr>
        <w:sectPr>
          <w:pgSz w:w="11900" w:h="16838" w:orient="portrait"/>
          <w:cols w:equalWidth="0" w:num="1">
            <w:col w:w="10920"/>
          </w:cols>
          <w:pgMar w:left="320" w:top="455" w:right="65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10756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8970" cy="107569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Except as otherwise indicated, all information in this prospectus supplement:</w:t>
      </w:r>
    </w:p>
    <w:p>
      <w:pPr>
        <w:spacing w:after="0" w:line="131" w:lineRule="exact"/>
        <w:rPr>
          <w:sz w:val="20"/>
          <w:szCs w:val="20"/>
          <w:color w:val="auto"/>
        </w:rPr>
      </w:pPr>
    </w:p>
    <w:p>
      <w:pPr>
        <w:ind w:left="1240" w:hanging="415"/>
        <w:spacing w:after="0"/>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no exercise of the outstanding stock options or pre-funded warrants described above; and</w:t>
      </w:r>
    </w:p>
    <w:p>
      <w:pPr>
        <w:spacing w:after="0" w:line="130" w:lineRule="exact"/>
        <w:rPr>
          <w:rFonts w:ascii="Times New Roman" w:cs="Times New Roman" w:eastAsia="Times New Roman" w:hAnsi="Times New Roman"/>
          <w:sz w:val="18"/>
          <w:szCs w:val="18"/>
          <w:color w:val="auto"/>
        </w:rPr>
      </w:pPr>
    </w:p>
    <w:p>
      <w:pPr>
        <w:ind w:left="1240" w:hanging="415"/>
        <w:spacing w:after="0" w:line="224" w:lineRule="auto"/>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reflect the potential issuance of up to $177.5 million of common stock that remains available for sale as of the date of this prospectus supplement under our Open Market Sale Agreement</w:t>
      </w:r>
      <w:r>
        <w:rPr>
          <w:rFonts w:ascii="Times New Roman" w:cs="Times New Roman" w:eastAsia="Times New Roman" w:hAnsi="Times New Roman"/>
          <w:sz w:val="26"/>
          <w:szCs w:val="26"/>
          <w:color w:val="auto"/>
          <w:vertAlign w:val="superscript"/>
        </w:rPr>
        <w:t>SM</w:t>
      </w:r>
      <w:r>
        <w:rPr>
          <w:rFonts w:ascii="Times New Roman" w:cs="Times New Roman" w:eastAsia="Times New Roman" w:hAnsi="Times New Roman"/>
          <w:sz w:val="18"/>
          <w:szCs w:val="18"/>
          <w:color w:val="auto"/>
        </w:rPr>
        <w:t>, or Sales Agreement, with Jefferies LLC, as amended on December 5, 2023.</w:t>
      </w:r>
    </w:p>
    <w:p>
      <w:pPr>
        <w:spacing w:after="0" w:line="3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S-6</w:t>
      </w:r>
    </w:p>
    <w:p>
      <w:pPr>
        <w:sectPr>
          <w:pgSz w:w="11900" w:h="16838" w:orient="portrait"/>
          <w:cols w:equalWidth="0" w:num="1">
            <w:col w:w="10640"/>
          </w:cols>
          <w:pgMar w:left="320" w:top="455" w:right="9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right="4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Your investment in our common stock involves a high degree of risk. Before deciding whether to invest in our common stock, you should carefully consider the risks discussed under the section captioned “Risk factors” contained in our Quarterly Report on Form 10-Q for the quarter ended March 31, 2024 which is incorporated by reference in this prospectus supplement and the accompanying prospectus in its entirety, together with other information in this prospectus supplement, the accompanying prospectus and in our other filings with the SEC that we have incorporated by reference herein and therein. If any of these risks actually occurs, our business, financial condition, results of operations or cash flow could be seriously harmed. This could cause the trading price of our common stock to decline, resulting in a loss of all or part of your investment.</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117"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you purchase shares of our common stock sold in this offering, you will experience immediate and substantial dilution. In addition, we may issue additional equity or convertible securities in the future, which may result in additional dilution to you.</w:t>
      </w:r>
    </w:p>
    <w:p>
      <w:pPr>
        <w:spacing w:after="0" w:line="5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Since the price per share of our common stock being offered is higher than the net tangible book value per share of our common stock, you will suffer dilution with respect to the net tangible book value of the shares of common stock you purchase in this offering. Based on the public offering price of $36.00 per share of our common stock and our net tangible book value as of March 31, 2024, if you purchase shares of common stock in this offering, you will suffer immediate dilution of $18.78 per share with respect to the net tangible book value of the common stock. For a more detailed discussion of the foregoing, see the section entitled “Dilution” below. To the extent outstanding stock options or pre-funded warrants are exercised, or restricted stock units vest and settle, there will be further dilution to investors. In addition, to the extent we need to raise additional capital in the future, under our Sales Agreement with Jefferies LLC or otherwise, and we issue additional shares of common stock or securities convertible or exchangeable for our common stock, our then existing stockholders may experience dilution and the new securities may have rights senior to those of our common stock offered in this offering.</w:t>
      </w:r>
    </w:p>
    <w:p>
      <w:pPr>
        <w:spacing w:after="0" w:line="292" w:lineRule="exact"/>
        <w:rPr>
          <w:sz w:val="20"/>
          <w:szCs w:val="20"/>
          <w:color w:val="auto"/>
        </w:rPr>
      </w:pPr>
    </w:p>
    <w:p>
      <w:pPr>
        <w:ind w:left="120"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broad discretion in the use of the net proceeds from this offering and may use them in ways that you and other stockholders may not approve.</w:t>
      </w:r>
    </w:p>
    <w:p>
      <w:pPr>
        <w:spacing w:after="0" w:line="5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currently expect to use the net proceeds of this offering to fund research and clinical development of our current or additional product candidates, and the remainder for working capital and other general corporate purposes. We may also use a portion of the net proceeds to in-license, acquire or invest in complementary businesses or technologies to continue to build our pipeline, research and development capabilities and our intellectual property position. Because of the number and variability of factors that will determine our use of the net proceeds from this offering, their ultimate use may vary substantially from their currently intended use. Our management will have broad discretion in the application of the net proceeds from this offering and you will not have the opportunity as part of your investment decision to assess whether the net proceeds are being used appropriately. Our management might not spend the net proceeds in ways that improve our results of operations or enhance the value of our common stock. The failure by our management to apply these funds effectively could result in financial losses that could have a material adverse effect on our business, cause the price of our common stock to decline and delay the development of our product candidates. Pending their use, we may invest the net proceeds from this offering in a manner that does not produce income or that loses value. See “Use of Proceeds.”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You may experience future dilution as a result of future equity offerings.</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To raise additional capital, we may in the future offer additional shares of our common stock or other securities convertible into or exchangeable for our common stock at prices that may not be the same as the price per share in this offering. We may sell shares or other securities in any other offering at a price per share that is</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1060"/>
          </w:cols>
          <w:pgMar w:left="320" w:top="455" w:right="5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less than the price per share paid by investors in this offering, and investors purchasing shares or other securities in the future could have rights superior to existing stockholders. The price per share at which we sell additional shares of our common stock, or securities convertible or exchangeable into common stock, in future transactions may be higher or lower than the price per share paid by investors in this offering.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in the public market after this offering could cause our stock price to fall.</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If our stockholders sell, or the market perceives that our stockholders intend to sell, substantial amounts of our common stock in the public market, the market price of our common stock could decline significantly. We had 24,695,885 shares of common stock outstanding as of March 31, 2024. We filed a registration statement on Form S-3 (Registration No. 333-275652) that was declared effective by the SEC on November 29, 2023, and which registers the offer and sale from time to time of up to $400,000,000 of a variety of securities, including common stock, preferred stock, debt securities, warrants or units pursuant to one or more offerings at prices and terms to be determined at the time of sale. To the extent shares are sold into the market pursuant to this registration statement on Form S-3, under Rule 144 of the Securities Act or otherwise, particularly in substantial quantities, the market price of our common stock could decline.</w:t>
      </w:r>
    </w:p>
    <w:p>
      <w:pPr>
        <w:spacing w:after="0" w:line="189" w:lineRule="exact"/>
        <w:rPr>
          <w:sz w:val="20"/>
          <w:szCs w:val="20"/>
          <w:color w:val="auto"/>
        </w:rPr>
      </w:pPr>
    </w:p>
    <w:p>
      <w:pPr>
        <w:ind w:left="120" w:right="100" w:firstLine="440"/>
        <w:spacing w:after="0" w:line="289" w:lineRule="auto"/>
        <w:rPr>
          <w:sz w:val="20"/>
          <w:szCs w:val="20"/>
          <w:color w:val="auto"/>
        </w:rPr>
      </w:pPr>
      <w:r>
        <w:rPr>
          <w:rFonts w:ascii="Times New Roman" w:cs="Times New Roman" w:eastAsia="Times New Roman" w:hAnsi="Times New Roman"/>
          <w:sz w:val="17"/>
          <w:szCs w:val="17"/>
          <w:color w:val="auto"/>
        </w:rPr>
        <w:t>We cannot predict what effect, if any, sales of our shares in the public market or the availability of shares for sale will have on the market price of our common stock. However, future sales of substantial amounts of our common stock in the public market, including shares issued upon exercise of outstanding options or pre-funded warrants, or the perception that such sales may occur, could adversely affect the market price of our common stock.</w:t>
      </w:r>
    </w:p>
    <w:p>
      <w:pPr>
        <w:spacing w:after="0" w:line="158" w:lineRule="exact"/>
        <w:rPr>
          <w:sz w:val="20"/>
          <w:szCs w:val="20"/>
          <w:color w:val="auto"/>
        </w:rPr>
      </w:pPr>
    </w:p>
    <w:p>
      <w:pPr>
        <w:ind w:left="120" w:right="120" w:firstLine="440"/>
        <w:spacing w:after="0" w:line="277" w:lineRule="auto"/>
        <w:rPr>
          <w:sz w:val="20"/>
          <w:szCs w:val="20"/>
          <w:color w:val="auto"/>
        </w:rPr>
      </w:pPr>
      <w:r>
        <w:rPr>
          <w:rFonts w:ascii="Times New Roman" w:cs="Times New Roman" w:eastAsia="Times New Roman" w:hAnsi="Times New Roman"/>
          <w:sz w:val="17"/>
          <w:szCs w:val="17"/>
          <w:color w:val="auto"/>
        </w:rPr>
        <w:t>We may raise money through additional public or private offerings of our equity securities or equity-linked securities. For example, in December 2023, we entered into an amendment to the Sales Agreement pursuant to which we may offer and sell, from time to time to or through Jefferies LLC, acting as our sales agent, shares of common stock having an aggregate offering price of up to $200.0 million. As of the date of this prospectus supplement, we may issue and sell shares of our common stock having an aggregate offering price of up to $177.5 million under our “at-the-market” offering program. Any sales of our equity or equity-linked securities could have a material adverse effect on the market price of our common stock.</w:t>
      </w:r>
    </w:p>
    <w:p>
      <w:pPr>
        <w:spacing w:after="0" w:line="168"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In connection with this offering, we and our directors, executive officers and certain of our stockholders have entered into lock-up agreements covering some or all of their equity ownership for a period of 45 days following this offering. The lock-up agreements are subject to various exceptions, and we and our directors and executive officers may be released from the lock-up agreements prior to the expiration of the lock-up period at the sole discretion of Leerink Partners LLC. See the section entitled “Underwriting.” Upon expiration or earlier release of the lock-up agreements, we and our directors and executive officers may sell previously locked-up shares into the market, which could adversely affect the market price of shares of our common stock.</w:t>
      </w:r>
    </w:p>
    <w:p>
      <w:pPr>
        <w:spacing w:after="0" w:line="187"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We also expect that significant additional capital may be needed in the future to continue our planned operations. To raise capital, we may sell common stock, convertible securities or other equity securities in one or more transactions at prices and in a manner we determine from time to time. These sales, or the perception in the market that the holders of a large number of shares intend to sell shares, could reduce the market price of our common stock.</w:t>
      </w:r>
    </w:p>
    <w:p>
      <w:pPr>
        <w:spacing w:after="0" w:line="180"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In addition, we have a significant number of stock options outstanding and our board of directors intends to grant additional stock options, and may also choose to issue additional common stock, or securities convertible into or exchangeable for common stock, in the future in connection with a financing, an acquisition, employee arrangements or otherwise. In the event that the outstanding options are exercised or that we make additional issuances of common stock or other convertible or exchangeable securities, you could experience additional</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1120"/>
          </w:cols>
          <w:pgMar w:left="320" w:top="455"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00"/>
        <w:spacing w:after="0" w:line="266" w:lineRule="auto"/>
        <w:rPr>
          <w:sz w:val="20"/>
          <w:szCs w:val="20"/>
          <w:color w:val="auto"/>
        </w:rPr>
      </w:pPr>
      <w:r>
        <w:rPr>
          <w:rFonts w:ascii="Times New Roman" w:cs="Times New Roman" w:eastAsia="Times New Roman" w:hAnsi="Times New Roman"/>
          <w:sz w:val="18"/>
          <w:szCs w:val="18"/>
          <w:color w:val="auto"/>
        </w:rPr>
        <w:t>dilution. Furthermore, we cannot assure you that we will be able to issue shares or other securities in any other offering at a price per share that is equal to or greater than the price per share paid by investors in this offering, and investors purchasing our securities in the future may have rights superior to investors purchasing shares in this offering.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the shares of our common stock could be highly volatile, and purchasers of our common stock could incur substantial losses.</w:t>
      </w:r>
    </w:p>
    <w:p>
      <w:pPr>
        <w:spacing w:after="0" w:line="121"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The volatility of our common stock may affect the price at which you could sell the shares of our common stock, and the sale of substantial amounts of our common stock could adversely affect the price of our common stock. Our stock price is likely to continue to be volatile and subject to significant price and volume fluctuations in response to market and other factors, including those described in the sections captioned “Risk factors” in this prospectus supplement, the accompanying prospectus and the documents incorporated by reference herein and therein.</w:t>
      </w:r>
    </w:p>
    <w:p>
      <w:pPr>
        <w:spacing w:after="0" w:line="180" w:lineRule="exact"/>
        <w:rPr>
          <w:sz w:val="20"/>
          <w:szCs w:val="20"/>
          <w:color w:val="auto"/>
        </w:rPr>
      </w:pPr>
    </w:p>
    <w:p>
      <w:pPr>
        <w:ind w:left="120" w:right="100" w:firstLine="440"/>
        <w:spacing w:after="0" w:line="281" w:lineRule="auto"/>
        <w:rPr>
          <w:sz w:val="20"/>
          <w:szCs w:val="20"/>
          <w:color w:val="auto"/>
        </w:rPr>
      </w:pPr>
      <w:r>
        <w:rPr>
          <w:rFonts w:ascii="Times New Roman" w:cs="Times New Roman" w:eastAsia="Times New Roman" w:hAnsi="Times New Roman"/>
          <w:sz w:val="17"/>
          <w:szCs w:val="17"/>
          <w:color w:val="auto"/>
        </w:rPr>
        <w:t>As a result, you may not be able to sell your shares of common stock at or above the price at which you purchase them. In addition, the stock market in general, and the Nasdaq Global Market and the stock of biotechnology and emerging pharmaceutical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w:t>
      </w:r>
    </w:p>
    <w:p>
      <w:pPr>
        <w:spacing w:after="0" w:line="164"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stock market in general and the market for pharmaceutical and biotechnology companies in particular have experienced extreme volatility that has often been unrelated to the operating performance of particular companies. The market price for our common stock may be influenced by many factors, including:</w:t>
      </w:r>
    </w:p>
    <w:p>
      <w:pPr>
        <w:spacing w:after="0" w:line="81" w:lineRule="exact"/>
        <w:rPr>
          <w:sz w:val="20"/>
          <w:szCs w:val="20"/>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new equity securities pursuant to a future offering, including issuances of preferred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interest rates;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our product candidates;</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developments, including announcements by competitors of new products or services or significant contracts, acquisitions, strategic partnerships, joint ventures, or capital commitments;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quarterly operating results or those of companies that are perceived to be similar to 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depth and liquidity of the market for our common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perceptions of our company and the pharmaceutical and biotechnology industries generally;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of success of competitive products or technologies;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and preclinical studies, of our product candidates or those of our competitors;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U.S. and other countries;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or failure to obtain, regulatory approvals;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proprietary rights;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corporate strategy and goals;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efforts to discover, develop, acquire, or in-license additional technologies or product candidates;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1120"/>
          </w:cols>
          <w:pgMar w:left="320" w:top="455"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estimates as to financial results, development timelines, or recommendations by securities analysts;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rumors or announcements regarding transactions involving our company or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and other national conditions;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this “Risk factors” section.</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the Discovery and Development of Our Product Candidates</w:t>
      </w:r>
    </w:p>
    <w:p>
      <w:pPr>
        <w:spacing w:after="0" w:line="117" w:lineRule="exact"/>
        <w:rPr>
          <w:sz w:val="20"/>
          <w:szCs w:val="20"/>
          <w:color w:val="auto"/>
        </w:rPr>
      </w:pPr>
    </w:p>
    <w:p>
      <w:pPr>
        <w:ind w:left="120" w:right="28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Interim, top-line, initial and preliminary data from our clinical trials that we announce or publish from time to time may change as more patient data become available and are subject to confirmation, audit and verification procedures that could result in material changes in the final data.</w:t>
      </w:r>
    </w:p>
    <w:p>
      <w:pPr>
        <w:spacing w:after="0" w:line="28"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From time to time, we may publicly disclose interim, top-line, initial or preliminary data from our clinical trials, which is based on a preliminary analysis of then-available data, and the results and related findings and conclusions are subject to change following a more comprehensive review of the data. For example, we announced top-line results from the Phase 1 DISC-0974 clinical trial in June 2022, initial results from our Phase 2 BEACON clinical trial of bitopertin in June 2023 and additional data from BEACON and AURORA in June 2024, positive data from initial dose cohorts from our ongoing Phase 1b/2 clinical trial of DISC-0974 and additional data in June 2024 and initial data from the SAD cohorts of our Phase 1 trial of DISC-3405. We also may make assumptions, estimations, calculations and conclusions as part of our analyses of data, and may not have received or had the opportunity to fully and carefully evaluate all data. As a result, the interim, top-line, initial or preliminary results that we report may differ from future results of the same trials, or different conclusions or considerations may qualify such results, once additional data have been received and fully evaluated. Interim, top-line, initial and preliminary data from clinical trials are subject to the risk that one or more of the clinical outcomes may materially change as patient enrollment continues and more patient data become available. Interim, top-line, initial and preliminary data also remain subject to audit and verification procedures that may result in the final data being materially different from the interim, top-line, initial or preliminary data we previously published. As a result, interim, top-line, initial and preliminary data should be viewed with caution until the final data are available. Adverse differences between interim, top-line, initial or preliminary data and final data could significantly harm our business prospects and may cause the price of our common stock to fluctuate or decline.</w:t>
      </w:r>
    </w:p>
    <w:p>
      <w:pPr>
        <w:spacing w:after="0" w:line="197" w:lineRule="exact"/>
        <w:rPr>
          <w:sz w:val="20"/>
          <w:szCs w:val="20"/>
          <w:color w:val="auto"/>
        </w:rPr>
      </w:pPr>
    </w:p>
    <w:p>
      <w:pPr>
        <w:ind w:left="120" w:right="200" w:firstLine="440"/>
        <w:spacing w:after="0" w:line="256" w:lineRule="auto"/>
        <w:rPr>
          <w:sz w:val="20"/>
          <w:szCs w:val="20"/>
          <w:color w:val="auto"/>
        </w:rPr>
      </w:pPr>
      <w:r>
        <w:rPr>
          <w:rFonts w:ascii="Times New Roman" w:cs="Times New Roman" w:eastAsia="Times New Roman" w:hAnsi="Times New Roman"/>
          <w:sz w:val="18"/>
          <w:szCs w:val="18"/>
          <w:color w:val="auto"/>
        </w:rPr>
        <w:t>Further, regulatory agencies and others, may not accept or agree with our assumptions, estimates, calculations, conclusions or analyses or may interpret or weigh the importance of data differently, which could adversely impact the potential of the particular program, the likelihood of obtaining regulatory approval of the particular product candidate, commercialization of any approved product and the business prospects of the company in general. In addition, the information we choose to publicly disclose regarding a particular study or clinical trial is derived from information that is typically extensive, and you or others may not agree with what we determine is material or otherwise appropriate information to include in our disclosure.</w:t>
      </w:r>
    </w:p>
    <w:p>
      <w:pPr>
        <w:spacing w:after="0" w:line="187"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If the interim, top-line, initial or preliminary data that we report differs from actual results, or if regulatory authorities or others, disagree with the conclusions reached, our ability to obtain approval for, and commercialize, our product candidates may be significantly impaired, which could materially harm our business, operating results, prospects or financial condition.</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1080"/>
          </w:cols>
          <w:pgMar w:left="320" w:top="455" w:right="4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plan to retain all of our future earnings, if any, to finance the operation, development and growth of our business. We do not expect to pay any cash dividends on our common stock in the foreseeable future. Payment of future dividends, if any, will be at the discretion of our board of directors and will depend on our financial condition, results of operations, capital requirements, restrictions contained in current or future financing instruments, provisions of applicable law and other factors the board deems relevant. Our ability to pay dividends on our common stock may be restricted by the terms of any of our future indebtedness.</w:t>
      </w:r>
    </w:p>
    <w:p>
      <w:pPr>
        <w:spacing w:after="0" w:line="11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0940"/>
          </w:cols>
          <w:pgMar w:left="320" w:top="455" w:right="6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We estimate that the net proceeds to us from the sale of the shares of common stock that we are offering will be approximately $172.3 million after deducting underwriting discounts and commissions and estimated offering expenses payable by us.</w:t>
      </w:r>
    </w:p>
    <w:p>
      <w:pPr>
        <w:spacing w:after="0" w:line="162"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As of March 31, 2024, we had cash and cash equivalents of $342.6 million. We currently intend to use the net proceeds from this offering, together with our existing cash and cash equivalents, to fund research and clinical development of our current or additional product candidates, and the remainder for working capital and other general corporate purposes. We may also use a portion of the net proceeds to in-license, acquire or invest in complementary businesses or technologies to continue to build our pipeline, research and development capabilities and our intellectual property position.</w:t>
      </w:r>
    </w:p>
    <w:p>
      <w:pPr>
        <w:spacing w:after="0" w:line="183"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The expected use of net proceeds from this offering represents our intentions based upon our current plans and business conditions, which could change in the future as our plans and business conditions evolve. The amounts and timing of our actual expenditures may vary significantly depending on numerous factors, including the progress of our development, feedback from regulatory authorities, the status of and results from clinical trials, as well as any collaborations that we may enter into with third parties for our product candidates, and any unforeseen cash needs. As a result, our management will retain broad discretion over the allocation of the net proceeds from this offering. We may find it necessary or advisable to use the net proceeds from this offering for other purposes, and we will have broad discretion in the application of net proceeds. Pending use of the proceeds as described above, we intend to invest the proceeds in a variety of capital preservation instruments, including high quality, investment grade instruments, certificates of deposit or direct or guaranteed obligations of the U.S. government, or may hold such proceeds as cash, until they are used for their stated purpose.</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After the completion of this offering, assuming net proceeds to us, after deducting estimated offering expenses payable by us, of approximately</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$172.3 million, we expect that our cash and cash equivalents, will be sufficient to fund our current operating and capital expenditure plans well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into 2027. Without the proceeds of this offering, we anticipate that our existing cash and cash equivalents will be sufficient to fund our operating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capital expenditure plans well into 2026. Our future capital requirements will depend on many factors, including those discussed in “Liquidity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Capital Resources” of our Quarterly Report on Form 10-Q for the quarter ended March 31, 2024.</w:t>
      </w:r>
    </w:p>
    <w:p>
      <w:pPr>
        <w:spacing w:after="0" w:line="20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do not expect that our existing cash and cash equivalents and anticipated net proceeds from this offering alone will be sufficient to enable us to fund the completion of the development of any of our product candidates. We have based our estimates on assumptions that may prove to be wrong. In addition, we could use our available capital resources sooner than we currently expect, in which case we would need to obtain additional funding, which may not be available to us on acceptable terms, or at all. See the “Risk Factors” section of this prospectus supplement and the documents incorporated by reference for a discussion of the risks affecting our business that could have an adverse effect on our available capital resources.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1120"/>
          </w:cols>
          <w:pgMar w:left="320" w:top="455"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If you purchase shares of our common stock in this offering, your ownership interest will be diluted to the extent of the difference between the price per share of our common stock you pay in this offering and the net tangible book value per share of our common stock immediately after this offering.</w:t>
      </w:r>
    </w:p>
    <w:p>
      <w:pPr>
        <w:spacing w:after="0" w:line="176"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Our net tangible book value as of March 31, 2024 was approximately $338.1 million, or $13.69 per share of common stock, based upon 24,695,885 shares outstanding as of that date. Net tangible book value per share is equal to our total tangible assets, less our total liabilities, divided by the total number of shares outstanding.</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After giving effect to our issuance and sale of shares of our common stock at the public offering price of $36.00 per share, after deducting underwriting discounts and commissions and estimated offering expenses payable by us, our adjusted net tangible book value as of March 31, 2024 would have been $510.4 million, or $17.22 per share. This represents an immediate increase in net tangible book value of $3.53 per share to our existing stockholders, and an immediate dilution of $18.78 per share to investors purchasing shares of common stock in the offering. Dilution per share to investors purchasing securities in this offering is determined by subtracting as adjusted net tangible book value per share after this offering from the public offering price per share of common stock (or pre-funded warrant) paid by investors.</w:t>
      </w:r>
    </w:p>
    <w:p>
      <w:pPr>
        <w:spacing w:after="0" w:line="187" w:lineRule="exact"/>
        <w:rPr>
          <w:sz w:val="20"/>
          <w:szCs w:val="20"/>
          <w:color w:val="auto"/>
        </w:rPr>
      </w:pPr>
    </w:p>
    <w:tbl>
      <w:tblPr>
        <w:tblLayout w:type="fixed"/>
        <w:tblInd w:w="560" w:type="dxa"/>
        <w:tblCellMar>
          <w:top w:w="0" w:type="dxa"/>
          <w:left w:w="0" w:type="dxa"/>
          <w:bottom w:w="0" w:type="dxa"/>
          <w:right w:w="0" w:type="dxa"/>
        </w:tblCellMar>
      </w:tblPr>
      <w:tr>
        <w:trPr>
          <w:trHeight w:val="234"/>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illustrates this calculation on a per share basis:</w:t>
            </w: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0" w:type="dxa"/>
            <w:vAlign w:val="bottom"/>
            <w:vMerge w:val="restart"/>
          </w:tcPr>
          <w:p>
            <w:pPr>
              <w:spacing w:after="0"/>
              <w:rPr>
                <w:sz w:val="21"/>
                <w:szCs w:val="21"/>
                <w:color w:val="auto"/>
              </w:rPr>
            </w:pPr>
          </w:p>
        </w:tc>
        <w:tc>
          <w:tcPr>
            <w:tcW w:w="7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40" w:type="dxa"/>
            <w:vAlign w:val="bottom"/>
            <w:vMerge w:val="continue"/>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 per share</w:t>
            </w:r>
          </w:p>
        </w:tc>
        <w:tc>
          <w:tcPr>
            <w:tcW w:w="17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$ 36.00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Historical net tangible book value per share as of March 31, 2024</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$13.69</w:t>
            </w: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40" w:type="dxa"/>
            <w:vAlign w:val="bottom"/>
          </w:tcPr>
          <w:p>
            <w:pPr>
              <w:spacing w:after="0"/>
              <w:rPr>
                <w:sz w:val="17"/>
                <w:szCs w:val="17"/>
                <w:color w:val="auto"/>
              </w:rPr>
            </w:pPr>
          </w:p>
        </w:tc>
        <w:tc>
          <w:tcPr>
            <w:tcW w:w="75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Increase in net tangible book value per share attributable to investors purchasing shares of common</w:t>
            </w: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0" w:type="dxa"/>
            <w:vAlign w:val="bottom"/>
          </w:tcPr>
          <w:p>
            <w:pPr>
              <w:spacing w:after="0"/>
              <w:rPr>
                <w:sz w:val="20"/>
                <w:szCs w:val="20"/>
                <w:color w:val="auto"/>
              </w:rPr>
            </w:pPr>
          </w:p>
        </w:tc>
        <w:tc>
          <w:tcPr>
            <w:tcW w:w="7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in this offering</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4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9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As adjusted net tangible book value per share as of March 31, 2024 after giving effect to this offering</w:t>
            </w:r>
          </w:p>
        </w:tc>
        <w:tc>
          <w:tcPr>
            <w:tcW w:w="22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in as adjusted net tangible book value per share to investors in this offering</w:t>
            </w:r>
          </w:p>
        </w:tc>
        <w:tc>
          <w:tcPr>
            <w:tcW w:w="17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$ 18.78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foregoing tables and calculations are based on 24,695,885 shares of common stock outstanding as of March 31, 2024, and excludes:</w:t>
      </w:r>
    </w:p>
    <w:p>
      <w:pPr>
        <w:spacing w:after="0" w:line="131" w:lineRule="exact"/>
        <w:rPr>
          <w:sz w:val="20"/>
          <w:szCs w:val="20"/>
          <w:color w:val="auto"/>
        </w:rPr>
      </w:pPr>
    </w:p>
    <w:p>
      <w:pPr>
        <w:ind w:left="1080" w:right="26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2,948,273 shares of common stock issuable upon the exercise of stock options outstanding as of March 31, 2024, at a weighted average exercise price of $24.23 per share;</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79,662 shares of common stock issuable upon the exercise of stock options granted subsequent to March 31, 2024, at a weighted average exercise price of $37.87 per share;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368,714 shares of common stock issuable upon the vesting of restricted stock awards outstanding as of March 31, 2024;</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3,135 shares of common stock issuable upon the vesting of restricted stock awards granted subsequent to March 31, 2024;</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1,743,232 shares of common stock available for issuance under our Amended and Restated 2021 Stock Option and Incentive Plan as of March 31, 2024;</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260,272 shares of common stock available for future issuance under our Amended and Restated 2021 Employee Stock Purchase Plan as of March 31, 2024;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204,081 shares of common stock issuable upon the exercise of pre-funded warrants outstanding as of March 31, 2024.</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1100"/>
          </w:cols>
          <w:pgMar w:left="320" w:top="455" w:right="4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To the extent that outstanding options or pre-funded warrants are exercised, new options or other securities are issued under our equity incentive plans or we issue additional shares of common stock in the future, there will be further dilution to investors participating in this offering. In addition, we may choose to raise additional capital because of market conditions or strategic considerations, even if we believe that we have sufficient funds for our current or future operating plans. If we raise additional capital through the sale of equity or convertible debt securities, the issuance of these securities could result in further dilution to our stockholders.</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1080"/>
          </w:cols>
          <w:pgMar w:left="320" w:top="455" w:right="4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 FOR INVESTORS IN OUR COMMON STOCK</w:t>
      </w:r>
    </w:p>
    <w:p>
      <w:pPr>
        <w:spacing w:after="0" w:line="229"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The following summary describes the material U.S. federal income tax considerations of the acquisition, ownership and disposition of our common stock acquired in this offering. This discussion does not address all aspects of U.S. federal income taxes, does not discuss the potential application of the alternative minimum tax or Medicare Contribution tax and does not deal with state or local taxes, U.S. federal gift and estate tax laws or, except to the limited extent provided below, any non-U.S. tax consequences that may be relevant to investors in light of their particular circumstances.</w:t>
      </w:r>
    </w:p>
    <w:p>
      <w:pPr>
        <w:spacing w:after="0" w:line="183"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Special rules different from those described below may apply to certain investors that are subject to special treatment under the Internal Revenue Code of 1986, as amended, or the Code, such as:</w:t>
      </w:r>
    </w:p>
    <w:p>
      <w:pPr>
        <w:spacing w:after="0" w:line="67" w:lineRule="exact"/>
        <w:rPr>
          <w:sz w:val="20"/>
          <w:szCs w:val="20"/>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 banks and other financial institutions;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(including private foundations) and tax-qualified retirement plans;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governments and international organizations;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 and traders in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 and former citizens or long-term residents of the United States;</w:t>
      </w:r>
    </w:p>
    <w:p>
      <w:pPr>
        <w:spacing w:after="0" w:line="130"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Non-U.S. Holders (as defined below) that own, or are deemed to own, more than 5% of our common stock (directly, indirectly or by attribution);</w:t>
      </w:r>
    </w:p>
    <w:p>
      <w:pPr>
        <w:spacing w:after="0" w:line="67" w:lineRule="exact"/>
        <w:rPr>
          <w:rFonts w:ascii="Times New Roman" w:cs="Times New Roman" w:eastAsia="Times New Roman" w:hAnsi="Times New Roman"/>
          <w:sz w:val="18"/>
          <w:szCs w:val="18"/>
          <w:color w:val="auto"/>
        </w:rPr>
      </w:pPr>
    </w:p>
    <w:p>
      <w:pPr>
        <w:ind w:left="1080" w:right="62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required for U.S. federal income tax purposes to conform the timing of income accruals to their financial statements under Section 451(b) of the Code;</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“passive foreign investment companies” and corporations that accumulate earnings to avoid U.S. federal income tax;</w:t>
      </w:r>
    </w:p>
    <w:p>
      <w:pPr>
        <w:spacing w:after="0" w:line="67" w:lineRule="exact"/>
        <w:rPr>
          <w:rFonts w:ascii="Times New Roman" w:cs="Times New Roman" w:eastAsia="Times New Roman" w:hAnsi="Times New Roman"/>
          <w:sz w:val="18"/>
          <w:szCs w:val="18"/>
          <w:color w:val="auto"/>
        </w:rPr>
      </w:pPr>
    </w:p>
    <w:p>
      <w:pPr>
        <w:ind w:left="1080" w:right="76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hold our common stock as part of a “straddle,” “hedge,” “conversion transaction,” “synthetic security” or integrated investment or other risk reduction strategy;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(as defined below) whose functional currency for U.S. tax purposes is not the U.S. dollar;</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do not hold our common stock as “capital assets” within the meaning of Section 1221 of the Code (generally, for investment purposes);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plans;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“qualified foreign pension funds” as defined in Section 897(l)(2) of the Code and entities all of the interests of which are held by qualified foreign pension funds;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deemed to sell our common stock under the constructive sale provisions of the Code;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hold or receive our common stock pursuant to the exercise of any employee stock option or otherwise as compensation.</w:t>
      </w:r>
    </w:p>
    <w:p>
      <w:pPr>
        <w:spacing w:after="0" w:line="225"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Such investors are urged to consult their own tax advisors to determine the U.S. federal, state, local and other tax consequences that may be relevant to them.</w:t>
      </w:r>
    </w:p>
    <w:p>
      <w:pPr>
        <w:spacing w:after="0" w:line="16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addition, this discussion does not address the tax treatment of partnerships or other pass-through entities or persons who hold our common stock through partnerships or other entities which are pass-through entities for U.S. federal income tax purposes. If a partnership or other pass-through entity holds our common stock, the tax treatment of a partner will generally depend upon the stratus of the partner and the activities of the partnership or other pass-through entity. A partner in a partnership or other pass-through entity that will hold our common stock should consult his, her or its own tax advisor regarding the tax consequences of the ownership and disposition of our common stock through a partnership or other pass-through entity, as applicable.</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1100"/>
          </w:cols>
          <w:pgMar w:left="320" w:top="455" w:right="4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Furthermore, the discussion below is based upon the provisions of the Code, and Treasury regulations, rulings and judicial decisions thereunder as of the date hereof, and such authorities may be repealed, revoked or modified, possibly retroactively, and are subject to differing interpretations which could result in U.S. federal income tax consequences different from those discussed below. We have not requested a ruling from the Internal Revenue Service, or the IRS, with respect to the statements made and the conclusions reached in the following summary, and there can be no assurance that the IRS will agree with such statements and conclusions or will not take a contrary position regarding the tax consequences described herein, or that any such contrary position would not be sustained by a court.</w:t>
      </w:r>
    </w:p>
    <w:p>
      <w:pPr>
        <w:spacing w:after="0" w:line="18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For the purposes of this discussion, a “U.S. Holder” means a beneficial owner of our common stock, other than a partnership or other pass-through entity, that is, for U.S. federal income tax purposes, (a) an individual citizen or resident of the United States, (b) a corporation (or other entity taxable as a corporation for U.S. federal income tax purposes), created or organized in or under the laws of the United States, any state thereof or the District of Columbia, (c) an estate the income of which is subject to U.S. federal income taxation regardless of its source, or (d) a trust if it (1) is subject to the primary supervision of a court within the United States and one or more ”United States persons” (within the meaning of Section 7701(a)(30) of the Code) have the authority to control all substantial decisions of the trust or (2) has a valid election in effect under applicable U.S. Treasury regulations to be treated as a United States person.</w:t>
      </w:r>
    </w:p>
    <w:p>
      <w:pPr>
        <w:spacing w:after="0" w:line="189" w:lineRule="exact"/>
        <w:rPr>
          <w:sz w:val="20"/>
          <w:szCs w:val="20"/>
          <w:color w:val="auto"/>
        </w:rPr>
      </w:pPr>
    </w:p>
    <w:p>
      <w:pPr>
        <w:jc w:val="both"/>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If you are an individual non-U.S. citizen, you may, in some cases, be deemed to be a resident alien (as opposed to a nonresident alien) by virtue of being present in the United States for at least 31 days in the calendar year and for an aggregate of at least 183 days during a three-year period ending in the current calendar year. Generally, for this purpose, all the days present in the current year, one-third of the days present in the immediately preceding year, and one-sixth of the days present in the second preceding year, are counted.</w:t>
      </w:r>
    </w:p>
    <w:p>
      <w:pPr>
        <w:spacing w:after="0" w:line="180"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Resident aliens are generally subject to U.S. federal income tax as if they were U.S. citizens. Individuals who are uncertain of their status as resident or nonresident aliens for U.S. federal income tax purposes are urged to consult their own tax advisors regarding the U.S. federal income tax consequences of the ownership or disposition of our common stock.</w:t>
      </w:r>
    </w:p>
    <w:p>
      <w:pPr>
        <w:spacing w:after="0" w:line="176"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PERSONS CONSIDERING THE PURCHASE OF OUR COMMON STOCK PURSUANT TO THIS OFFERING SHOULD CONSULT THEIR OWN TAX ADVISORS CONCERNING THE U.S. FEDERAL INCOME TAX CONSEQUENCES OF ACQUIRING, OWNING AND DISPOSING OF OUR COMMON STOCK IN LIGHT OF THEIR PARTICULAR SITUATIONS AS WELL AS ANY CONSEQUENCES ARISING UNDER THE LAWS OF ANY OTHER TAXING JURISDICTION, INCLUDING ANY STATE, LOCAL OR NON-U.S. TAX CONSEQUENCES OR ANY U.S. FEDERAL NON-INCOME TAX CONSEQUENCES, AND THE POSSIBLE APPLICATION OF TAX TREATIES.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 Consequences to U.S. Holders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Distributions on Common Stock</w:t>
      </w:r>
    </w:p>
    <w:p>
      <w:pPr>
        <w:spacing w:after="0" w:line="119"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As stated under “</w:t>
      </w:r>
      <w:r>
        <w:rPr>
          <w:rFonts w:ascii="Times New Roman" w:cs="Times New Roman" w:eastAsia="Times New Roman" w:hAnsi="Times New Roman"/>
          <w:sz w:val="18"/>
          <w:szCs w:val="18"/>
          <w:i w:val="1"/>
          <w:iCs w:val="1"/>
          <w:color w:val="auto"/>
        </w:rPr>
        <w:t>Dividend Policy</w:t>
      </w:r>
      <w:r>
        <w:rPr>
          <w:rFonts w:ascii="Times New Roman" w:cs="Times New Roman" w:eastAsia="Times New Roman" w:hAnsi="Times New Roman"/>
          <w:sz w:val="18"/>
          <w:szCs w:val="18"/>
          <w:color w:val="auto"/>
        </w:rPr>
        <w:t>,” we do not expect to make distributions on our common stock in the foreseeable future. In the event that we do make distributions of cash or other property, distributions paid on common stock will be treated as a dividend to the extent paid out of our current or accumulated earnings and profits (as determined under U.S. federal income tax principles), and will be includible in your income as ordinary income when received. However, with respect to dividends received by individuals, such dividends are generally taxed at the lower applicable qualified dividends rate, provided certain holding period requirements are satisfied. Distributions in excess of our current and accumulated earnings and profits will be treated as a return of capital to the extent of a U.S. Holder’s tax basis in the common stock and thereafter as capital gain from the sale or exchange of such common stock. The tax treatment of such gain is further described in “—</w:t>
      </w:r>
      <w:r>
        <w:rPr>
          <w:rFonts w:ascii="Times New Roman" w:cs="Times New Roman" w:eastAsia="Times New Roman" w:hAnsi="Times New Roman"/>
          <w:sz w:val="18"/>
          <w:szCs w:val="18"/>
          <w:i w:val="1"/>
          <w:iCs w:val="1"/>
          <w:color w:val="auto"/>
        </w:rPr>
        <w:t>Sale or Other Disposition of Common Stock</w:t>
      </w:r>
      <w:r>
        <w:rPr>
          <w:rFonts w:ascii="Times New Roman" w:cs="Times New Roman" w:eastAsia="Times New Roman" w:hAnsi="Times New Roman"/>
          <w:sz w:val="18"/>
          <w:szCs w:val="18"/>
          <w:color w:val="auto"/>
        </w:rPr>
        <w:t>” below. Dividends received by a corporation may be eligible for a dividends</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1120"/>
          </w:cols>
          <w:pgMar w:left="320" w:top="455"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 xml:space="preserve">received deduction, subject to applicable limitations. Any such distributions will also be subject to the discussions below under the section titled “— </w:t>
      </w:r>
      <w:r>
        <w:rPr>
          <w:rFonts w:ascii="Times New Roman" w:cs="Times New Roman" w:eastAsia="Times New Roman" w:hAnsi="Times New Roman"/>
          <w:sz w:val="18"/>
          <w:szCs w:val="18"/>
          <w:i w:val="1"/>
          <w:iCs w:val="1"/>
          <w:color w:val="auto"/>
        </w:rPr>
        <w:t>Information Reporting and Backup Withholding</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Sale or Other Disposition of Common Stock</w:t>
      </w:r>
    </w:p>
    <w:p>
      <w:pPr>
        <w:spacing w:after="0" w:line="121"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For U.S. federal income tax purposes, gain or loss realized on the sale or other disposition of common stock will be capital gain or loss, and will be long-term capital gain or loss if you have held the common stock for more than one year. The amount of the gain or loss will equal the difference between your adjusted tax basis in the common stock disposed of and the amount realized on the disposition. Long-term capital gains recognized by non-corporate U.S. Holders will be subject to reduced tax rates. The deductibility of capital losses is subject to limitations.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Information reporting requirements generally will apply to any payments of dividends on our common stock, and gross proceeds on the sale or other disposition of our common stock, unless the U.S. Holder is an exempt recipient (such as a corporation), regardless of whether any tax was actually withheld. Backup withholding (currently at a 24% rate) will apply to those payments if the U.S. Holder fails to provide its correct taxpayer identification number, or certification of exempt status, or if the U.S. Holder is notified by the IRS that it has failed to report in full payments of interest and dividend income. Any amounts withheld under the backup withholding rules will be allowed as a refund or a credit against a U.S. Holder’s U.S. federal income tax liability provided the required information is furnished timely to the IRS.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 Consequences to Non-U.S. Holders</w:t>
      </w:r>
    </w:p>
    <w:p>
      <w:pPr>
        <w:spacing w:after="0" w:line="121"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For purposes of this discussion, a Non-U.S. Holder is a beneficial owner of our common stock that, for U.S. federal income tax purposes, is (i) a foreign corporation, (ii) a nonresident alien individual, or (iii) a foreign estate or trust that in each case is not subject to U.S. federal income tax on a net-income basis on income or gain from common stock. If you are not a Non-U.S. Holder, this section does not apply to you.</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Distributions on Common Stock</w:t>
      </w:r>
    </w:p>
    <w:p>
      <w:pPr>
        <w:spacing w:after="0" w:line="119" w:lineRule="exact"/>
        <w:rPr>
          <w:sz w:val="20"/>
          <w:szCs w:val="20"/>
          <w:color w:val="auto"/>
        </w:rPr>
      </w:pPr>
    </w:p>
    <w:p>
      <w:pPr>
        <w:ind w:left="120" w:right="80" w:firstLine="440"/>
        <w:spacing w:after="0" w:line="257" w:lineRule="auto"/>
        <w:rPr>
          <w:sz w:val="20"/>
          <w:szCs w:val="20"/>
          <w:color w:val="auto"/>
        </w:rPr>
      </w:pPr>
      <w:r>
        <w:rPr>
          <w:rFonts w:ascii="Times New Roman" w:cs="Times New Roman" w:eastAsia="Times New Roman" w:hAnsi="Times New Roman"/>
          <w:sz w:val="18"/>
          <w:szCs w:val="18"/>
          <w:color w:val="auto"/>
        </w:rPr>
        <w:t>As stated under “</w:t>
      </w:r>
      <w:r>
        <w:rPr>
          <w:rFonts w:ascii="Times New Roman" w:cs="Times New Roman" w:eastAsia="Times New Roman" w:hAnsi="Times New Roman"/>
          <w:sz w:val="18"/>
          <w:szCs w:val="18"/>
          <w:i w:val="1"/>
          <w:iCs w:val="1"/>
          <w:color w:val="auto"/>
        </w:rPr>
        <w:t>Dividend Policy</w:t>
      </w:r>
      <w:r>
        <w:rPr>
          <w:rFonts w:ascii="Times New Roman" w:cs="Times New Roman" w:eastAsia="Times New Roman" w:hAnsi="Times New Roman"/>
          <w:sz w:val="18"/>
          <w:szCs w:val="18"/>
          <w:color w:val="auto"/>
        </w:rPr>
        <w:t xml:space="preserve">,” we do not expect to make any distributions on our common stock in the foreseeable future. If we do make distributions on our common stock, however, such distributions made to a Non-U.S. Holder will constitute dividends for U.S. tax purposes to the extent paid out of our current or accumulated earnings and profits (as determined under U.S. federal income tax principles). Distributions in excess of our current and accumulated earnings and profits will constitute a return of capital that is applied against and reduces, but not below zero, a Non-U.S. Holder’s adjusted tax basis in our common stock. Any remaining excess will be treated as gain realized as described below under the section titled “— </w:t>
      </w:r>
      <w:r>
        <w:rPr>
          <w:rFonts w:ascii="Times New Roman" w:cs="Times New Roman" w:eastAsia="Times New Roman" w:hAnsi="Times New Roman"/>
          <w:sz w:val="18"/>
          <w:szCs w:val="18"/>
          <w:i w:val="1"/>
          <w:iCs w:val="1"/>
          <w:color w:val="auto"/>
        </w:rPr>
        <w:t>Sale or Other Disposition of Common Stock</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Any distribution on our common stock that is treated as a dividend paid to a Non-U.S. Holder that is not effectively connected with the holder’s conduct of a trade or business in the United States will generally be subject to withholding tax at a 30% rate or such lower rate as may be specified by an applicable income tax treaty between the United States and the Non-U.S. Holder’s country of residence. To obtain a reduced rate of withholding under a treaty, a Non-U.S. Holder generally will be required to provide the applicable withholding agent with a properly executed IRS Form W-8BEN, IRS Form W-8BEN-E or other appropriate form, certifying the Non-U.S. Holder’s entitlement to benefits under that treaty. Such form must be provided prior to the payment of dividends and must be updated periodically. If a Non-U.S. Holder holds stock through a financial institution or other agent acting on the holder’s behalf, the holder will be required to provide appropriate documentation to such agent. The holder’s agent may then be required to provide certification to the applicable withholding agent, either directly or through other intermediaries. If you are eligible for a reduced rate of U.S. withholding tax under</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1120"/>
          </w:cols>
          <w:pgMar w:left="320" w:top="455"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500"/>
        <w:spacing w:after="0" w:line="282" w:lineRule="auto"/>
        <w:rPr>
          <w:sz w:val="20"/>
          <w:szCs w:val="20"/>
          <w:color w:val="auto"/>
        </w:rPr>
      </w:pPr>
      <w:r>
        <w:rPr>
          <w:rFonts w:ascii="Times New Roman" w:cs="Times New Roman" w:eastAsia="Times New Roman" w:hAnsi="Times New Roman"/>
          <w:sz w:val="18"/>
          <w:szCs w:val="18"/>
          <w:color w:val="auto"/>
        </w:rPr>
        <w:t>an income tax treaty, you should consult with your own tax advisor to determine if you are able to obtain a refund or credit of any excess amounts withheld by timely filing an appropriate claim for a refund with the IRS.</w:t>
      </w:r>
    </w:p>
    <w:p>
      <w:pPr>
        <w:spacing w:after="0" w:line="162"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We generally are not required to withhold tax on dividends paid (or constructive dividends deemed paid) to a Non-U.S. Holder that are effectively connected with the holder’s conduct of a trade or business within the United States (and, if required by an applicable income tax treaty, are attributable to a permanent establishment or fixed base that the holder maintains in the United States) if a properly executed IRS Form W-8ECI, stating that the dividends are so connected, is furnished to us (or, if shares of our common stock are held through a financial institution or other agent, to the applicable withholding agent). In general, such effectively connected dividends will be subject to U.S. federal income tax on a net income basis at the regular graduated rates applicable to U.S. persons, unless a specific treaty exemption applies. A corporate Non-U.S. Holder receiving effectively connected dividends may also be subject to an additional “branch profits tax,” which is imposed, under certain circumstances, at a rate of 30% (or such lower rate as may be specified by an applicable treaty) on the corporate Non-U.S. Holder’s effectively connected earnings and profits, subject to certain adjustments.</w:t>
      </w:r>
    </w:p>
    <w:p>
      <w:pPr>
        <w:spacing w:after="0" w:line="186" w:lineRule="exact"/>
        <w:rPr>
          <w:sz w:val="20"/>
          <w:szCs w:val="20"/>
          <w:color w:val="auto"/>
        </w:rPr>
      </w:pPr>
    </w:p>
    <w:p>
      <w:pPr>
        <w:ind w:left="120" w:right="580" w:firstLine="440"/>
        <w:spacing w:after="0" w:line="284" w:lineRule="auto"/>
        <w:rPr>
          <w:sz w:val="20"/>
          <w:szCs w:val="20"/>
          <w:color w:val="auto"/>
        </w:rPr>
      </w:pPr>
      <w:r>
        <w:rPr>
          <w:rFonts w:ascii="Times New Roman" w:cs="Times New Roman" w:eastAsia="Times New Roman" w:hAnsi="Times New Roman"/>
          <w:sz w:val="18"/>
          <w:szCs w:val="18"/>
          <w:color w:val="auto"/>
        </w:rPr>
        <w:t>See also the section below titled “—</w:t>
      </w:r>
      <w:r>
        <w:rPr>
          <w:rFonts w:ascii="Times New Roman" w:cs="Times New Roman" w:eastAsia="Times New Roman" w:hAnsi="Times New Roman"/>
          <w:sz w:val="18"/>
          <w:szCs w:val="18"/>
          <w:i w:val="1"/>
          <w:iCs w:val="1"/>
          <w:color w:val="auto"/>
        </w:rPr>
        <w:t>Foreign Accounts</w:t>
      </w:r>
      <w:r>
        <w:rPr>
          <w:rFonts w:ascii="Times New Roman" w:cs="Times New Roman" w:eastAsia="Times New Roman" w:hAnsi="Times New Roman"/>
          <w:sz w:val="18"/>
          <w:szCs w:val="18"/>
          <w:color w:val="auto"/>
        </w:rPr>
        <w:t>” for additional withholding rules that may apply to dividends paid to certain foreign financial institutions or non-financial foreign entities.</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Sale or Other Disposition of Common Stock</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Subject to the discussion below under the sections titled “—</w:t>
      </w:r>
      <w:r>
        <w:rPr>
          <w:rFonts w:ascii="Times New Roman" w:cs="Times New Roman" w:eastAsia="Times New Roman" w:hAnsi="Times New Roman"/>
          <w:sz w:val="18"/>
          <w:szCs w:val="18"/>
          <w:i w:val="1"/>
          <w:iCs w:val="1"/>
          <w:color w:val="auto"/>
        </w:rPr>
        <w:t>Information Reporting and Backup Withholding</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Foreign Accounts</w:t>
      </w:r>
      <w:r>
        <w:rPr>
          <w:rFonts w:ascii="Times New Roman" w:cs="Times New Roman" w:eastAsia="Times New Roman" w:hAnsi="Times New Roman"/>
          <w:sz w:val="18"/>
          <w:szCs w:val="18"/>
          <w:color w:val="auto"/>
        </w:rPr>
        <w:t>,” a</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Non-U.S. Holder generally will not be subject to U.S. federal income or withholding tax with respect to gain realized on a sale or other disposition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common stock unless (a) the gain is effectively connected with a trade or business of the holder in the United States (and, if required by an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applicable income tax treaty, is attributable to a permanent establishment that the holder maintains in the United States), (b) the Non-U.S. Holder is a</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nonresident alien individual and is present in the United States for a period or periods aggregating 183 or more days in the taxable year of the disposition</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and certain other conditions are met, or (c) we are or have been a “United States real property holding corporation” within the meaning of Code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 897(c)(2), unless any class of our stock is regularly traded on an established securities market and the Non-U.S. Holder disposes of such class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stock and holds no more than 5% of such class of stock, directly or indirectly, actually or constructively, during the shorter of the 5-year period ending</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 the date of the disposition or the period that the Non-U.S. Holder held such class of stock.</w:t>
      </w:r>
    </w:p>
    <w:p>
      <w:pPr>
        <w:spacing w:after="0" w:line="207"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If you are a Non-U.S. Holder described in (a) above, you will be required to pay tax on the net gain derived from the sale at the regular graduated U.S. federal income tax rates applicable to U.S. persons, unless a specific treaty exemption applies. Corporate Non-U.S. Holders described in (a) above may also be subject to the additional branch profits tax at a 30% rate or such lower rate as may be specified by an applicable income tax treaty. If you are an individual Non-U.S. Holder described in (b) above, you will be required to pay a flat 30% tax on the gain derived from the sale, which gain may be offset by certain U.S. source capital losses (even though you are not considered a resident of the United States), provided you have timely filed U.S. federal income tax returns with respect to such losses. With respect to (c) above, in general, we would be a U.S. real property holding corporation if interests in U.S. real estate comprised (by fair market value) at least half of our worldwide real property interests plus our other assets used or held for use in a trade or business. We believe that we are not, and do not anticipate becoming, a U.S. real property holding corporation. However, there can be no assurance that we will not become a U.S. real property holding corporation in the future.</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21" w:lineRule="exact"/>
        <w:rPr>
          <w:sz w:val="20"/>
          <w:szCs w:val="20"/>
          <w:color w:val="auto"/>
        </w:rPr>
      </w:pPr>
    </w:p>
    <w:p>
      <w:pPr>
        <w:ind w:left="120" w:right="140" w:firstLine="440"/>
        <w:spacing w:after="0" w:line="289" w:lineRule="auto"/>
        <w:rPr>
          <w:sz w:val="20"/>
          <w:szCs w:val="20"/>
          <w:color w:val="auto"/>
        </w:rPr>
      </w:pPr>
      <w:r>
        <w:rPr>
          <w:rFonts w:ascii="Times New Roman" w:cs="Times New Roman" w:eastAsia="Times New Roman" w:hAnsi="Times New Roman"/>
          <w:sz w:val="17"/>
          <w:szCs w:val="17"/>
          <w:color w:val="auto"/>
        </w:rPr>
        <w:t>Generally, we or certain financial middlemen must report information to the IRS with respect to any dividends we pay on our common stock, the name and address of the recipient, and the amount, if any, of tax withheld. A similar report is sent to the holder to whom any such dividends are paid. Pursuant to tax treaties or certain other agreements, the IRS may make its reports available to tax authorities in the recipient’s country of residence.</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S-18</w:t>
      </w:r>
    </w:p>
    <w:p>
      <w:pPr>
        <w:sectPr>
          <w:pgSz w:w="11900" w:h="16838" w:orient="portrait"/>
          <w:cols w:equalWidth="0" w:num="1">
            <w:col w:w="11120"/>
          </w:cols>
          <w:pgMar w:left="320" w:top="455"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Dividends paid by us (or our paying agents) to a Non-U.S. Holder may also be subject to U.S. backup withholding. U.S. backup withholding generally will not apply to a Non-U.S. Holder who provides a properly executed IRS Form W-8BEN or IRS Form W-8BEN-E, as applicable, or otherwise establishes an exemption, provided that the applicable withholding agent does not have actual knowledge or reason to know the holder is a U.S. person.</w:t>
      </w:r>
    </w:p>
    <w:p>
      <w:pPr>
        <w:spacing w:after="0" w:line="180"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Under current U.S. federal income tax law, U.S. information reporting and backup withholding requirements generally will apply to the proceeds of a disposition of our common stock effected by or through a U.S. office of any broker, U.S. or non-U.S., unless the Non-U.S. Holder provides a properly executed IRS Form W-8BEN or IRS Form W-8BEN-E, as applicable, or otherwise meets documentary evidence requirements for establishing non-U.S. person status or otherwise establishes an exemption. Generally, U.S. information reporting and backup withholding requirements will not apply to a payment of disposition proceeds to a Non-U.S. Holder where the transaction is effected outside the United States through a non-U.S. office of a non-U.S. broker. Information reporting and backup withholding requirements may, however, apply to a payment of disposition proceeds if the broker has actual knowledge, or reason to know, that the holder is, in fact, a U.S. person. For information reporting purposes, certain brokers with substantial U.S. ownership or operations will generally be treated in a manner similar to U.S. brokers.</w:t>
      </w:r>
    </w:p>
    <w:p>
      <w:pPr>
        <w:spacing w:after="0" w:line="192"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Backup withholding is not an additional tax. If backup withholding is applied to you, you should consult with your own tax advisor to determine whether you have overpaid your U.S. federal income tax, and whether you are able to obtain a tax refund or credit of the overpaid amount.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Foreign Accounts</w:t>
      </w:r>
    </w:p>
    <w:p>
      <w:pPr>
        <w:spacing w:after="0" w:line="121" w:lineRule="exact"/>
        <w:rPr>
          <w:sz w:val="20"/>
          <w:szCs w:val="20"/>
          <w:color w:val="auto"/>
        </w:rPr>
      </w:pPr>
    </w:p>
    <w:p>
      <w:pPr>
        <w:ind w:left="120" w:right="20" w:firstLine="440"/>
        <w:spacing w:after="0" w:line="268" w:lineRule="auto"/>
        <w:rPr>
          <w:sz w:val="20"/>
          <w:szCs w:val="20"/>
          <w:color w:val="auto"/>
        </w:rPr>
      </w:pPr>
      <w:r>
        <w:rPr>
          <w:rFonts w:ascii="Times New Roman" w:cs="Times New Roman" w:eastAsia="Times New Roman" w:hAnsi="Times New Roman"/>
          <w:sz w:val="17"/>
          <w:szCs w:val="17"/>
          <w:color w:val="auto"/>
        </w:rPr>
        <w:t>In addition to, and separately from the withholding rules described above, U.S. federal withholding taxes may apply under the Foreign Account Tax Compliance Act, or FATCA, on certain types of payments, including dividends to non-U.S. financial institutions and certain other non-U.S. entities. Specifically, a 30% withholding tax may be imposed on dividends paid in respect of our common stock and the gross proceeds of the disposition on our common stock paid to a “foreign financial institution” or a “non-financial foreign entity” (each as defined in the Code), unless (1) the foreign financial institution agrees to undertake certain diligence and reporting obligations, (2) the non-financial foreign entity either certifies it does not have any “substantial United States owners” (as defined in the Code) or furnishes identifying information regarding each substantial United States owner, or</w:t>
      </w:r>
    </w:p>
    <w:p>
      <w:pPr>
        <w:spacing w:after="0" w:line="5" w:lineRule="exact"/>
        <w:rPr>
          <w:sz w:val="20"/>
          <w:szCs w:val="20"/>
          <w:color w:val="auto"/>
        </w:rPr>
      </w:pPr>
    </w:p>
    <w:p>
      <w:pPr>
        <w:ind w:left="120" w:right="20" w:hanging="4"/>
        <w:spacing w:after="0" w:line="252" w:lineRule="auto"/>
        <w:tabs>
          <w:tab w:leader="none" w:pos="3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foreign financial institution or non-financial foreign entity otherwise qualifies for an exemption from these rules. The 30% federal withholding tax described in this paragraph cannot be reduced under an income tax treaty with the United States.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188"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Treasury Secretary has issued proposed regulations providing that the withholding provisions under FATCA do not apply with respect to payment of gross proceeds from a sale or other disposition of our notes or common stock, which may be relied upon by taxpayers until final regulations are issued. Prospective investors should consult their tax advisors regarding the potential application of withholding under FATCA to their investment in our common stock.</w:t>
      </w:r>
    </w:p>
    <w:p>
      <w:pPr>
        <w:spacing w:after="0" w:line="180" w:lineRule="exact"/>
        <w:rPr>
          <w:sz w:val="20"/>
          <w:szCs w:val="20"/>
          <w:color w:val="auto"/>
        </w:rPr>
      </w:pPr>
    </w:p>
    <w:p>
      <w:pPr>
        <w:ind w:left="120" w:right="580" w:firstLine="440"/>
        <w:spacing w:after="0" w:line="261" w:lineRule="auto"/>
        <w:rPr>
          <w:sz w:val="20"/>
          <w:szCs w:val="20"/>
          <w:color w:val="auto"/>
        </w:rPr>
      </w:pPr>
      <w:r>
        <w:rPr>
          <w:rFonts w:ascii="Times New Roman" w:cs="Times New Roman" w:eastAsia="Times New Roman" w:hAnsi="Times New Roman"/>
          <w:sz w:val="18"/>
          <w:szCs w:val="18"/>
          <w:color w:val="auto"/>
        </w:rPr>
        <w:t>EACH PROSPECTIVE INVESTOR SHOULD CONSULT ITS OWN TAX ADVISOR REGARDING THE TAX CONSEQUENCES OF PURCHASING, HOLDING AND DISPOSING OF OUR COMMON STOCK, INCLUDING THE CONSEQUENCES OF ANY PROPOSED CHANGE IN APPLICABLE LAW, AS WELL AS TAX CONSEQUENCES ARISING UNDER ANY STATE, LOCAL, NON-U.S. OR U.S. FEDERAL NON-INCOME TAX LAWS SUCH AS ESTATE AND GIFT TAX.</w:t>
      </w:r>
    </w:p>
    <w:p>
      <w:pPr>
        <w:spacing w:after="0" w:line="11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S-19</w:t>
      </w:r>
    </w:p>
    <w:p>
      <w:pPr>
        <w:sectPr>
          <w:pgSz w:w="11900" w:h="16838" w:orient="portrait"/>
          <w:cols w:equalWidth="0" w:num="1">
            <w:col w:w="11100"/>
          </w:cols>
          <w:pgMar w:left="320" w:top="455" w:right="4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9"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Leerink Partners LLC is acting as sole bookrunning manager and sole underwriter for this offering. Subject to the terms and conditions set forth in the underwriting agreement between us and Leerink Partners LLC, we have agreed to sell to the underwriter, and the underwriter has agreed to purchase from us, 4,944,000 shares of common stock.</w:t>
      </w:r>
    </w:p>
    <w:p>
      <w:pPr>
        <w:spacing w:after="0" w:line="176"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Subject to the terms and conditions set forth in the underwriting agreement, the underwriter has agreed to purchase all of the shares sold under the underwriting agreement if any of the shares are purchased. If the underwriter defaults, the underwriting agreement provides that the underwriting agreement may be terminated.</w:t>
      </w:r>
    </w:p>
    <w:p>
      <w:pPr>
        <w:spacing w:after="0" w:line="176"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We have agreed to indemnify the underwriter against certain liabilities, including liabilities under the Securities Act, or to contribute to payments the underwriter may be required to make in respect of those liabilities.</w:t>
      </w:r>
    </w:p>
    <w:p>
      <w:pPr>
        <w:spacing w:after="0" w:line="162"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underwriter is offering the shares, subject to prior sale, when, as and if issued to and accepted by it, subject to approval of legal matters by its counsel, including the validity of the shares, and subject to other conditions contained in the underwriting agreement, such as the receipt by the underwriter of officers’ certificates and legal opinions. The underwriter reserves the right to withdraw, cancel or modify offers to the public and to reject orders in whole or in part.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Participation in the Offering</w:t>
      </w:r>
    </w:p>
    <w:p>
      <w:pPr>
        <w:spacing w:after="0" w:line="121"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Certain of our existing stockholders, including entities affiliated with certain of our directors, are participating in this offering and are expected to purchase an aggregate of 3,553,344 shares of our common stock, on the same terms as other investors in this offering. The underwriter will receive the same underwriting discount on any shares purchased by these stockholders as it will on any other shares sold in this offering.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Discounts and Commissions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underwriter has advised us that it proposes to offer the shares to the public at the initial public offering price set forth on the cover page of this prospectus supplement and to dealers at that price less a concession not in excess of $0.54 per share. After the initial offering of the shares, the public offering price, concession or any other term of this offering may be changed by the underwriter.</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shows the initial public offering price, underwriting discounts and commissions and proceeds, before expenses, to us.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180" w:type="dxa"/>
            <w:vAlign w:val="bottom"/>
          </w:tcPr>
          <w:p>
            <w:pPr>
              <w:spacing w:after="0"/>
              <w:rPr>
                <w:sz w:val="15"/>
                <w:szCs w:val="15"/>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9"/>
        </w:trPr>
        <w:tc>
          <w:tcPr>
            <w:tcW w:w="6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Initial public offering price</w:t>
            </w: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36.00</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177,984,000</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discounts and commissions</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0.90</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4,449,600</w:t>
            </w: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35.10</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173,534,400</w:t>
            </w:r>
          </w:p>
        </w:tc>
      </w:tr>
    </w:tbl>
    <w:p>
      <w:pPr>
        <w:spacing w:after="0" w:line="198"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We estimate expenses payable by us in connection with this offering, other than the underwriting discounts and commissions referred to above, will be approximately $1.2 million. We also have agreed to reimburse the underwriter for up to $30,000 for its FINRA counsel fee. In accordance with FINRA Rule 5110, this reimbursed fee is deemed underwriting compensation for this offering.</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S-20</w:t>
      </w:r>
    </w:p>
    <w:p>
      <w:pPr>
        <w:sectPr>
          <w:pgSz w:w="11900" w:h="16838" w:orient="portrait"/>
          <w:cols w:equalWidth="0" w:num="1">
            <w:col w:w="11120"/>
          </w:cols>
          <w:pgMar w:left="320" w:top="455"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Sales of Similar Securities</w:t>
      </w:r>
    </w:p>
    <w:p>
      <w:pPr>
        <w:spacing w:after="0" w:line="121"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We and all of our directors and officers have agreed that, without the prior written consent of the underwriter, we and they will not, and will not publicly disclose an intention to, during the period ending 45 days after the date of this prospectus supplement (the “restricted period”):</w:t>
      </w:r>
    </w:p>
    <w:p>
      <w:pPr>
        <w:spacing w:after="0" w:line="67" w:lineRule="exact"/>
        <w:rPr>
          <w:sz w:val="20"/>
          <w:szCs w:val="20"/>
          <w:color w:val="auto"/>
        </w:rPr>
      </w:pPr>
    </w:p>
    <w:p>
      <w:pPr>
        <w:ind w:left="1080" w:right="60" w:hanging="532"/>
        <w:spacing w:after="0" w:line="266"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 subject to the lock-up agreement;</w:t>
      </w:r>
    </w:p>
    <w:p>
      <w:pPr>
        <w:spacing w:after="0" w:line="81" w:lineRule="exact"/>
        <w:rPr>
          <w:rFonts w:ascii="Times New Roman" w:cs="Times New Roman" w:eastAsia="Times New Roman" w:hAnsi="Times New Roman"/>
          <w:sz w:val="18"/>
          <w:szCs w:val="18"/>
          <w:color w:val="auto"/>
        </w:rPr>
      </w:pPr>
    </w:p>
    <w:p>
      <w:pPr>
        <w:ind w:left="1080" w:right="340" w:hanging="532"/>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any registration statement with the SEC relating to the offering of any shares of common stock or any securities convertible into or exercisable or exchangeable for common stock; or</w:t>
      </w:r>
    </w:p>
    <w:p>
      <w:pPr>
        <w:spacing w:after="0" w:line="67" w:lineRule="exact"/>
        <w:rPr>
          <w:rFonts w:ascii="Times New Roman" w:cs="Times New Roman" w:eastAsia="Times New Roman" w:hAnsi="Times New Roman"/>
          <w:sz w:val="18"/>
          <w:szCs w:val="18"/>
          <w:color w:val="auto"/>
        </w:rPr>
      </w:pPr>
    </w:p>
    <w:p>
      <w:pPr>
        <w:ind w:left="1080" w:right="140" w:hanging="532"/>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swap or other arrangement that transfers to another, in whole or in part, any of the economic consequences of ownership of the common stock subject to the lock-up agreement;</w:t>
      </w:r>
    </w:p>
    <w:p>
      <w:pPr>
        <w:spacing w:after="0" w:line="162"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whether any such transaction described above is to be settled by delivery of common stock or such other securities, in cash or otherwise. In addition, we and each such person agrees that, without the prior written consent of the underwriter, we or such other person will not, during the restricted period, make any demand for, or exercise any right with respect to, the registration of any shares of common stock subject to the lock-up agreement or any security convertible into or exercisable or exchangeable for common stock.</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relation to us, the restrictions described above do not apply to:</w:t>
      </w:r>
    </w:p>
    <w:p>
      <w:pPr>
        <w:spacing w:after="0" w:line="131" w:lineRule="exact"/>
        <w:rPr>
          <w:sz w:val="20"/>
          <w:szCs w:val="20"/>
          <w:color w:val="auto"/>
        </w:rPr>
      </w:pPr>
    </w:p>
    <w:p>
      <w:pPr>
        <w:ind w:left="1080" w:hanging="532"/>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to be sold under the underwriting agreement;</w:t>
      </w:r>
    </w:p>
    <w:p>
      <w:pPr>
        <w:spacing w:after="0" w:line="130" w:lineRule="exact"/>
        <w:rPr>
          <w:rFonts w:ascii="Times New Roman" w:cs="Times New Roman" w:eastAsia="Times New Roman" w:hAnsi="Times New Roman"/>
          <w:sz w:val="18"/>
          <w:szCs w:val="18"/>
          <w:color w:val="auto"/>
        </w:rPr>
      </w:pPr>
    </w:p>
    <w:p>
      <w:pPr>
        <w:ind w:left="1080" w:hanging="532"/>
        <w:spacing w:after="0" w:line="266"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by us of shares of common stock upon the exercise of an option or a warrant or the conversion of a security outstanding on the date of this prospectus supplement in the manner described in this prospectus supplement or the information incorporated by reference herein;</w:t>
      </w:r>
    </w:p>
    <w:p>
      <w:pPr>
        <w:spacing w:after="0" w:line="81" w:lineRule="exact"/>
        <w:rPr>
          <w:rFonts w:ascii="Times New Roman" w:cs="Times New Roman" w:eastAsia="Times New Roman" w:hAnsi="Times New Roman"/>
          <w:sz w:val="18"/>
          <w:szCs w:val="18"/>
          <w:color w:val="auto"/>
        </w:rPr>
      </w:pPr>
    </w:p>
    <w:p>
      <w:pPr>
        <w:ind w:left="1080" w:right="180" w:hanging="532"/>
        <w:spacing w:after="0" w:line="261"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by any person other than us relating to shares of common stock or other securities acquired in open market transactions after the completion of the offering of the shares; provided that no filing under Section 16(a) of the Securities Exchange Act of 1934, as amended (the “Exchange Act”), is required or voluntarily made in connection with subsequent sales of the common stock or other securities acquired in such open market transactions;</w:t>
      </w:r>
    </w:p>
    <w:p>
      <w:pPr>
        <w:spacing w:after="0" w:line="85" w:lineRule="exact"/>
        <w:rPr>
          <w:rFonts w:ascii="Times New Roman" w:cs="Times New Roman" w:eastAsia="Times New Roman" w:hAnsi="Times New Roman"/>
          <w:sz w:val="18"/>
          <w:szCs w:val="18"/>
          <w:color w:val="auto"/>
        </w:rPr>
      </w:pPr>
    </w:p>
    <w:p>
      <w:pPr>
        <w:ind w:left="1080" w:right="140" w:hanging="532"/>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by us of registration statements on Form S-8 with respect to the employee benefit plans described in this prospectus supplement or the documents incorporated by reference herein;</w:t>
      </w:r>
    </w:p>
    <w:p>
      <w:pPr>
        <w:spacing w:after="0" w:line="67" w:lineRule="exact"/>
        <w:rPr>
          <w:rFonts w:ascii="Times New Roman" w:cs="Times New Roman" w:eastAsia="Times New Roman" w:hAnsi="Times New Roman"/>
          <w:sz w:val="18"/>
          <w:szCs w:val="18"/>
          <w:color w:val="auto"/>
        </w:rPr>
      </w:pPr>
    </w:p>
    <w:p>
      <w:pPr>
        <w:ind w:left="1080" w:right="40" w:hanging="532"/>
        <w:spacing w:after="0" w:line="258"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by us of shares of common stock or options to purchase shares of common stock to our employees, officers, directors, advisors or consultants pursuant to employee benefit plans described in this prospectus supplement or in the information incorporated by reference herein, provided that, prior to the issuance of any such shares or the grant of any such options to any director or executive officer elected or appointed following the date of this prospectus supplement and prior to the end of the Restricted Period, we shall cause each such recipient of such grant or issuance to execute and deliver a “lock-up” agreement;</w:t>
      </w:r>
    </w:p>
    <w:p>
      <w:pPr>
        <w:spacing w:after="0" w:line="88" w:lineRule="exact"/>
        <w:rPr>
          <w:rFonts w:ascii="Times New Roman" w:cs="Times New Roman" w:eastAsia="Times New Roman" w:hAnsi="Times New Roman"/>
          <w:sz w:val="18"/>
          <w:szCs w:val="18"/>
          <w:color w:val="auto"/>
        </w:rPr>
      </w:pPr>
    </w:p>
    <w:p>
      <w:pPr>
        <w:ind w:left="1080" w:hanging="532"/>
        <w:spacing w:after="0" w:line="255"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or issuance of or entry into an agreement to sell or issue shares of common stock in connection with our acquisition of one or more businesses, products, assets or technologies (whether by means of merger, stock purchase, asset purchase or otherwise) or in connection with joint ventures, collaboration or licensing agreements, marketing or distribution arrangements, commercial relationships or other strategic transactions; provided, that, the aggregate number of shares of our common stock that we may sell or issue or agree to sell or issue may not exceed 5% of the total number of shares of our common stock issued and outstanding immediately following the completion of the transactions contemplated by the underwriting agreement and provided further that we cause each recipient of such shares to execute and a lock up agreement;</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S-21</w:t>
      </w:r>
    </w:p>
    <w:p>
      <w:pPr>
        <w:sectPr>
          <w:pgSz w:w="11900" w:h="16838" w:orient="portrait"/>
          <w:cols w:equalWidth="0" w:num="1">
            <w:col w:w="11120"/>
          </w:cols>
          <w:pgMar w:left="320" w:top="455"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532"/>
        <w:spacing w:after="0" w:line="258"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facilitating the establishment of a trading plan on behalf of a shareholder, officer or director pursuant to Rule 10b5-1 under the Exchange Act for the transfer of shares of common stock, provided that (i) such plan does not provide for the transfer of common stock during the restricted period and (ii) to the extent a public announcement or filing under the Exchange Act, if any, is required of or voluntarily made by us regarding the establishment of such plan, such announcement or filing shall include a statement to the effect that no transfer of common stock may be made under such plan during the restricted period; or</w:t>
      </w:r>
    </w:p>
    <w:p>
      <w:pPr>
        <w:spacing w:after="0" w:line="88" w:lineRule="exact"/>
        <w:rPr>
          <w:rFonts w:ascii="Times New Roman" w:cs="Times New Roman" w:eastAsia="Times New Roman" w:hAnsi="Times New Roman"/>
          <w:sz w:val="18"/>
          <w:szCs w:val="18"/>
          <w:color w:val="auto"/>
        </w:rPr>
      </w:pPr>
    </w:p>
    <w:p>
      <w:pPr>
        <w:ind w:left="1080" w:right="100" w:hanging="532"/>
        <w:spacing w:after="0" w:line="266"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shares of Common Stock pursuant to a placement made under any “at-the-market” offering program described in the Time of Sale Prospectus and the Prospectus, provided that no shares may be offered or sold pursuant to such program during the period ending 30 days after the date of the Prospectus.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relation to our directors and executive officers, the restrictions described above do not apply to:</w:t>
      </w:r>
    </w:p>
    <w:p>
      <w:pPr>
        <w:spacing w:after="0" w:line="131" w:lineRule="exact"/>
        <w:rPr>
          <w:sz w:val="20"/>
          <w:szCs w:val="20"/>
          <w:color w:val="auto"/>
        </w:rPr>
      </w:pPr>
    </w:p>
    <w:p>
      <w:pPr>
        <w:ind w:left="1080" w:right="100" w:hanging="532"/>
        <w:spacing w:after="0" w:line="266"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relating to shares of common stock or other securities acquired in this offering or in open market transactions after the completion of this offering, provided that no filing under Section 16(a) of the Exchange Act shall be required or shall be voluntarily made in connection with subsequent sales of common stock or other securities acquired in this offering or in such open market transactions;</w:t>
      </w:r>
    </w:p>
    <w:p>
      <w:pPr>
        <w:spacing w:after="0" w:line="81" w:lineRule="exact"/>
        <w:rPr>
          <w:rFonts w:ascii="Times New Roman" w:cs="Times New Roman" w:eastAsia="Times New Roman" w:hAnsi="Times New Roman"/>
          <w:sz w:val="18"/>
          <w:szCs w:val="18"/>
          <w:color w:val="auto"/>
        </w:rPr>
      </w:pPr>
    </w:p>
    <w:p>
      <w:pPr>
        <w:ind w:left="1080" w:right="180" w:hanging="532"/>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shares of common stock or any security convertible into or exercisable or exchangeable for common stock as a bona fide gift or to a charitable organization or educational institution in a transfer not involving a disposition for value;</w:t>
      </w:r>
    </w:p>
    <w:p>
      <w:pPr>
        <w:spacing w:after="0" w:line="67" w:lineRule="exact"/>
        <w:rPr>
          <w:rFonts w:ascii="Times New Roman" w:cs="Times New Roman" w:eastAsia="Times New Roman" w:hAnsi="Times New Roman"/>
          <w:sz w:val="18"/>
          <w:szCs w:val="18"/>
          <w:color w:val="auto"/>
        </w:rPr>
      </w:pPr>
    </w:p>
    <w:p>
      <w:pPr>
        <w:ind w:left="1080" w:right="40" w:hanging="532"/>
        <w:spacing w:after="0" w:line="266"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or dispositions of shares of common stock or any security convertible into or exercisable or exchangeable for common stock to any immediate family member or any trust for the direct or indirect benefit of any immediate family member in a transaction not involving a disposition for value;</w:t>
      </w:r>
    </w:p>
    <w:p>
      <w:pPr>
        <w:spacing w:after="0" w:line="81" w:lineRule="exact"/>
        <w:rPr>
          <w:rFonts w:ascii="Times New Roman" w:cs="Times New Roman" w:eastAsia="Times New Roman" w:hAnsi="Times New Roman"/>
          <w:sz w:val="18"/>
          <w:szCs w:val="18"/>
          <w:color w:val="auto"/>
        </w:rPr>
      </w:pPr>
    </w:p>
    <w:p>
      <w:pPr>
        <w:ind w:left="1080" w:right="400" w:hanging="532"/>
        <w:spacing w:after="0" w:line="266"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of shares of common stock or any security convertible into common stock to general or limited partners, members, beneficiaries or other equityholders, direct or indirect affiliates (as defined in Rule 405 promulgated under the Securities Act) or to an investment fund or other entity that controls or manages, or is under common control with certain holders and their affiliates;</w:t>
      </w:r>
    </w:p>
    <w:p>
      <w:pPr>
        <w:spacing w:after="0" w:line="8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or dispositions of shares of common stock or any security convertible into or exercisable or exchangeable for common stock</w:t>
      </w:r>
    </w:p>
    <w:p>
      <w:pPr>
        <w:spacing w:after="0" w:line="27" w:lineRule="exact"/>
        <w:rPr>
          <w:rFonts w:ascii="Times New Roman" w:cs="Times New Roman" w:eastAsia="Times New Roman" w:hAnsi="Times New Roman"/>
          <w:sz w:val="18"/>
          <w:szCs w:val="18"/>
          <w:color w:val="auto"/>
        </w:rPr>
      </w:pPr>
    </w:p>
    <w:p>
      <w:pPr>
        <w:ind w:left="10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by will, other testamentary document or intestate succession to the legal representative, heir, beneficiary or a member of their immediate family upon their death or (ii) by operation of law pursuant to orders of a court or regulatory agency, in connection with a negotiated divorce settlement or pursuant to a qualified domestic relations order;</w:t>
      </w:r>
    </w:p>
    <w:p>
      <w:pPr>
        <w:spacing w:after="0" w:line="91" w:lineRule="exact"/>
        <w:rPr>
          <w:rFonts w:ascii="Times New Roman" w:cs="Times New Roman" w:eastAsia="Times New Roman" w:hAnsi="Times New Roman"/>
          <w:sz w:val="18"/>
          <w:szCs w:val="18"/>
          <w:color w:val="auto"/>
        </w:rPr>
      </w:pPr>
    </w:p>
    <w:p>
      <w:pPr>
        <w:ind w:left="1080" w:right="20" w:hanging="532"/>
        <w:spacing w:after="0" w:line="255"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or dispositions of shares of common stock or any security convertible into or exercisable or exchangeable for common stock to us pursuant to any contractual arrangement in effect on the date of this agreement and disclosed to the underwriter in writing that provides for the repurchase of common stock or other securities by us or in connection with the termination of employment with or service to us; provided that (i) the repurchase price for any such shares or securities shall not exceed the original purchase price (subject to appropriate adjustment in the event of any stock dividend, stock split, combination or other similar recapitalization) paid and (ii) any filing under Section 16(a) of the Exchange Act reporting a reduction in beneficial ownership of shares of common stock shall indicate by footnote disclosure or otherwise the nature of the transfer or disposition);</w:t>
      </w:r>
    </w:p>
    <w:p>
      <w:pPr>
        <w:spacing w:after="0" w:line="94" w:lineRule="exact"/>
        <w:rPr>
          <w:rFonts w:ascii="Times New Roman" w:cs="Times New Roman" w:eastAsia="Times New Roman" w:hAnsi="Times New Roman"/>
          <w:sz w:val="18"/>
          <w:szCs w:val="18"/>
          <w:color w:val="auto"/>
        </w:rPr>
      </w:pPr>
    </w:p>
    <w:p>
      <w:pPr>
        <w:ind w:left="1080" w:right="40" w:hanging="532"/>
        <w:spacing w:after="0" w:line="256"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or dispositions of shares of common stock or other securities to us in connection with the conversion of any convertible security into, or the exercise of any option or warrant for, shares of common stock (including by way of “net” or “cashless” exercise solely to cover withholding tax obligations in connection with such exercise or transfer to us for the payment of taxes as a result of such exercise); provided that (i) such convertible security, option or warrant is described in the prospectus and is outstanding on the date thereof, (ii) any such shares of common stock received by the undersigned shall be subject to the terms of this agreement and (iii) no filing under Section 16(a) of the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S-22</w:t>
      </w:r>
    </w:p>
    <w:p>
      <w:pPr>
        <w:sectPr>
          <w:pgSz w:w="11900" w:h="16838" w:orient="portrait"/>
          <w:cols w:equalWidth="0" w:num="1">
            <w:col w:w="11120"/>
          </w:cols>
          <w:pgMar w:left="320" w:top="455"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right="40"/>
        <w:spacing w:after="0" w:line="258" w:lineRule="auto"/>
        <w:rPr>
          <w:sz w:val="20"/>
          <w:szCs w:val="20"/>
          <w:color w:val="auto"/>
        </w:rPr>
      </w:pPr>
      <w:r>
        <w:rPr>
          <w:rFonts w:ascii="Times New Roman" w:cs="Times New Roman" w:eastAsia="Times New Roman" w:hAnsi="Times New Roman"/>
          <w:sz w:val="18"/>
          <w:szCs w:val="18"/>
          <w:color w:val="auto"/>
        </w:rPr>
        <w:t>Exchange Act, reporting a reduction in beneficial ownership of shares of common stock, shall be required or shall be voluntarily made during the restricted period, other than a filing on a Form 4 that reports such disposition under the transaction code “F,” in which case, the filing shall clearly indicate in the footnotes thereto or comments section thereof that the filing relates to the exercise of a stock option or warrant, as the case may be, that no shares of common stock were sold by the reporting person and that the shares of common stock received upon exercise of the stock option or warrant are subject to a lock-up agreement with the underwriter of the offering;</w:t>
      </w:r>
    </w:p>
    <w:p>
      <w:pPr>
        <w:spacing w:after="0" w:line="89" w:lineRule="exact"/>
        <w:rPr>
          <w:sz w:val="20"/>
          <w:szCs w:val="20"/>
          <w:color w:val="auto"/>
        </w:rPr>
      </w:pPr>
    </w:p>
    <w:p>
      <w:pPr>
        <w:ind w:left="1080" w:right="120" w:hanging="532"/>
        <w:spacing w:after="0" w:line="258"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establishment of a trading plan on behalf of a stockholder, officer or director pursuant to Rule 10b5-1 under the Exchange Act for the transfer of shares of common stock, provided that (i) such plan does not provide for the transfer of common stock during the restricted period and (ii) to the extent a public announcement or filing under the Exchange Act, if any, is required of or voluntarily made by or on behalf of the undersigned or us regarding the establishment of such plan, such announcement or filing shall include a statement to the effect that no transfer of common stock may be made under such plan during the restricted period; or</w:t>
      </w:r>
    </w:p>
    <w:p>
      <w:pPr>
        <w:spacing w:after="0" w:line="88" w:lineRule="exact"/>
        <w:rPr>
          <w:rFonts w:ascii="Times New Roman" w:cs="Times New Roman" w:eastAsia="Times New Roman" w:hAnsi="Times New Roman"/>
          <w:sz w:val="18"/>
          <w:szCs w:val="18"/>
          <w:color w:val="auto"/>
        </w:rPr>
      </w:pPr>
    </w:p>
    <w:p>
      <w:pPr>
        <w:ind w:left="1080" w:hanging="532"/>
        <w:spacing w:after="0" w:line="254"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shares of common stock (or any securities convertible into or exercisable or exchangeable for common stock) pursuant to a bona fide third-party tender offer for shares of our capital stock made to all holders of our securities, merger, consolidation or other similar transaction approved by our board of directors and occurring after the closing of this offering, the result of which is that any person (as defined in Section 13(d)(3) of the Exchange Act), or group of persons, other than us, becomes the beneficial owner (as defined in Rules 13d-3 and 13d-5 of the Exchange Act) of more than 50% of the total voting power of our voting stock; provided that in the event that such change of control transaction is not completed, the shares of common stock (or any security convertible into or exercisable or exchangeable for common stock) owned by the stockholder, officer or director shall remain subject to the restrictions contained in the lock-up agreement and title to the such shares shall remain with the applicable stockholder, officer or director;</w:t>
      </w:r>
    </w:p>
    <w:p>
      <w:pPr>
        <w:spacing w:after="0" w:line="97" w:lineRule="exact"/>
        <w:rPr>
          <w:rFonts w:ascii="Times New Roman" w:cs="Times New Roman" w:eastAsia="Times New Roman" w:hAnsi="Times New Roman"/>
          <w:sz w:val="18"/>
          <w:szCs w:val="18"/>
          <w:color w:val="auto"/>
        </w:rPr>
      </w:pPr>
    </w:p>
    <w:p>
      <w:pPr>
        <w:ind w:left="1080" w:right="40" w:hanging="532"/>
        <w:spacing w:after="0" w:line="258"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or transfer of shares of common stock pursuant to a written trading plan pursuant to Rule 10b5-1 under the Exchange Act that has been entered into prior to the date of the lock-up agreement; provided that no amendments or other modifications are made to such plans during the restricted period and that, to the extent a public announcement or filing under the Exchange Act, if any, is required or voluntarily made regarding such sales or transfers, such announcement or filing shall include a statement to the effect that the sale or transfer was made pursuant to a trading plan pursuant to Rule 10b5-1 of the Exchange Act;</w:t>
      </w:r>
    </w:p>
    <w:p>
      <w:pPr>
        <w:spacing w:after="0" w:line="183" w:lineRule="exact"/>
        <w:rPr>
          <w:sz w:val="20"/>
          <w:szCs w:val="20"/>
          <w:color w:val="auto"/>
        </w:rPr>
      </w:pPr>
    </w:p>
    <w:p>
      <w:pPr>
        <w:ind w:left="120" w:right="180"/>
        <w:spacing w:after="0" w:line="256" w:lineRule="auto"/>
        <w:rPr>
          <w:sz w:val="20"/>
          <w:szCs w:val="20"/>
          <w:color w:val="auto"/>
        </w:rPr>
      </w:pPr>
      <w:r>
        <w:rPr>
          <w:rFonts w:ascii="Times New Roman" w:cs="Times New Roman" w:eastAsia="Times New Roman" w:hAnsi="Times New Roman"/>
          <w:sz w:val="18"/>
          <w:szCs w:val="18"/>
          <w:color w:val="auto"/>
        </w:rPr>
        <w:t>provided that in the case of any transfer or distribution pursuant to clause (b), (c), (d) or (e), (i) each transferee, donee or distributee shall sign and deliver a lock-up agreement substantially in the form of the lock-up agreement signed by the transferor, donor or distributor and (ii) no filing under Section 16(a) of the Exchange Act, reporting a reduction in beneficial ownership of shares of common stock, shall be required or shall be voluntarily made during the restricted period (other than, with respect to clause (e) only, any Form 4 or Form 5 required to be filed under the Exchange Act if the undersigned is subject to Section 16 reporting under the Exchange Act due to their relationship with us, in which case any such filing will indicate by footnote disclosure or otherwise the nature of the transfer or disposition).</w:t>
      </w:r>
    </w:p>
    <w:p>
      <w:pPr>
        <w:spacing w:after="0" w:line="187"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underwriter, in its sole discretion, may release the common stock and other securities subject to the lock-up agreements described above in whole or in part at any time.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Nasdaq Global Market Listing</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common stock is listed on the Nasdaq Global Market under the symbol “IRON.”</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S-23</w:t>
      </w:r>
    </w:p>
    <w:p>
      <w:pPr>
        <w:sectPr>
          <w:pgSz w:w="11900" w:h="16838" w:orient="portrait"/>
          <w:cols w:equalWidth="0" w:num="1">
            <w:col w:w="11060"/>
          </w:cols>
          <w:pgMar w:left="320" w:top="455" w:right="5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Price Stabilization and Short Positions</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Until the distribution of the shares is completed, SEC rules may limit underwriters and selling group members from bidding for and purchasing our common stock. However, the underwriter may engage in transactions that stabilize the price of the common stock, such as bids or purchases to peg, fix or maintain that price.</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connection with this offering, the underwriter may purchase and sell our common stock in the open market. These transactions may include short sales, purchases on the open market to cover positions created by short sales and stabilizing transactions. Short sales involve the sale by the underwriter of a greater number of shares than it is required to purchase in this offering. Stabilizing transactions permit bids to purchase shares of common stock so long as the stabilizing bids do not exceed a specified maximum, and are engaged in for the purpose of preventing or retarding a decline in the market price of the common stock while the offering is in progress. Syndicate covering transactions involve purchases of common stock in the open market after the distribution has been completed in order to cover syndicate short positions. If the underwriter sells more shares in excess of the number of shares the underwriter is obligated to purchase and, therefore, has naked short position, the position can be closed out only by buying shares in the open market. A naked short position is more likely to be created if the underwriter is concerned that after pricing there could be downward pressure on the price of the shares in the open market that could adversely affect investors who purchase in the offering.</w:t>
      </w:r>
    </w:p>
    <w:p>
      <w:pPr>
        <w:spacing w:after="0" w:line="188"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The underwriter may conduct these transactions on the Nasdaq Global Market, in the over-the-counter market or otherwise.</w:t>
      </w:r>
    </w:p>
    <w:p>
      <w:pPr>
        <w:spacing w:after="0" w:line="180"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Neither we nor the underwriter makes any representation or prediction as to the direction or magnitude of any effect that the transactions described above may have on the price of our common stock. In addition, neither we nor the underwriter makes any representation that the underwriter will engage in these transactions or that these transactions, once commenced, will not be discontinued without notice.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Electronic Distribution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connection with this offering, the underwriter may distribute prospectuses by electronic means, such as e-mail.</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the underwriter is full service financial institutions engaged in various activities, which may include securities trading, commercial and investment banking, financial advisory, investment management, investment research, principal investment, hedging, financing and brokerage activities. The underwriter has engaged in and may in the future engage in investment banking and other commercial dealings in the ordinary course of business with us and our affiliates, for which it may in the future receive customary fees, commissions and expenses.</w:t>
      </w:r>
    </w:p>
    <w:p>
      <w:pPr>
        <w:spacing w:after="0" w:line="180"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In addition, in the ordinary course of its business activities, the underwriter may make or hold a broad array of investments and actively trade debt and equity securities (or related derivative securities) and financial instruments (including bank loans) for its own account and for the accounts of its customers. Such investments and securities activities may involve securities and/or instruments of ours or our affiliates. The underwriter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S-24</w:t>
      </w:r>
    </w:p>
    <w:p>
      <w:pPr>
        <w:sectPr>
          <w:pgSz w:w="11900" w:h="16838" w:orient="portrait"/>
          <w:cols w:equalWidth="0" w:num="1">
            <w:col w:w="11120"/>
          </w:cols>
          <w:pgMar w:left="320" w:top="455"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European Economic Area</w:t>
      </w:r>
    </w:p>
    <w:p>
      <w:pPr>
        <w:spacing w:after="0" w:line="121" w:lineRule="exact"/>
        <w:rPr>
          <w:sz w:val="20"/>
          <w:szCs w:val="20"/>
          <w:color w:val="auto"/>
        </w:rPr>
      </w:pPr>
    </w:p>
    <w:p>
      <w:pPr>
        <w:ind w:left="120" w:right="120" w:firstLine="440"/>
        <w:spacing w:after="0" w:line="281" w:lineRule="auto"/>
        <w:rPr>
          <w:sz w:val="20"/>
          <w:szCs w:val="20"/>
          <w:color w:val="auto"/>
        </w:rPr>
      </w:pPr>
      <w:r>
        <w:rPr>
          <w:rFonts w:ascii="Times New Roman" w:cs="Times New Roman" w:eastAsia="Times New Roman" w:hAnsi="Times New Roman"/>
          <w:sz w:val="17"/>
          <w:szCs w:val="17"/>
          <w:color w:val="auto"/>
        </w:rPr>
        <w:t>In relation to each Member State of the European Economic Area (each, a “Relevant State”), no shares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shares may be offered to the public in that Relevant State at any time:</w:t>
      </w:r>
    </w:p>
    <w:p>
      <w:pPr>
        <w:spacing w:after="0" w:line="70" w:lineRule="exact"/>
        <w:rPr>
          <w:sz w:val="20"/>
          <w:szCs w:val="20"/>
          <w:color w:val="auto"/>
        </w:rPr>
      </w:pPr>
    </w:p>
    <w:p>
      <w:pPr>
        <w:ind w:left="1080" w:hanging="532"/>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Article 2 of the Prospectus Regulation;</w:t>
      </w:r>
    </w:p>
    <w:p>
      <w:pPr>
        <w:spacing w:after="0" w:line="130" w:lineRule="exact"/>
        <w:rPr>
          <w:rFonts w:ascii="Times New Roman" w:cs="Times New Roman" w:eastAsia="Times New Roman" w:hAnsi="Times New Roman"/>
          <w:sz w:val="18"/>
          <w:szCs w:val="18"/>
          <w:color w:val="auto"/>
        </w:rPr>
      </w:pPr>
    </w:p>
    <w:p>
      <w:pPr>
        <w:ind w:left="1080" w:right="140" w:hanging="532"/>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Article 2 of the Prospectus Regulation), subject to obtaining the prior consent of the underwriter for any such offer; or</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w:t>
      </w:r>
    </w:p>
    <w:p>
      <w:pPr>
        <w:spacing w:after="0" w:line="223"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no such offer of shares shall require us or the underwriter to publish a prospectus pursuant to Article 3 of the Prospectus Regulation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supplement a prospectus pursuant to Article 23 of the Prospectus Regulation and each person who initially acquires any shares or to whom any offer is made will be deemed to have represented, acknowledged and agreed to and with the underwriter and us that it is a “qualified investor” within the meaning of Article 2(e) of the Prospectus Regulation. In the case of any shares being offered to a financial intermediary as that term is used in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Member State to qualified investors as so defined or in circumstances in which the prior consent of the underwriter have been obtained to each such proposed offer or resale.</w:t>
      </w:r>
    </w:p>
    <w:p>
      <w:pPr>
        <w:spacing w:after="0" w:line="187"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any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 as amended.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United Kingdom</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No shares have been offered or will be offered pursuant to the offering to the public in the United Kingdom prior to the publication of a prospectus in relation to the Shares which has been approved by the Financial Conduct Authority, except that the shares may be offered to the public in the United Kingdom at any time:</w:t>
      </w:r>
    </w:p>
    <w:p>
      <w:pPr>
        <w:spacing w:after="0" w:line="81" w:lineRule="exact"/>
        <w:rPr>
          <w:sz w:val="20"/>
          <w:szCs w:val="20"/>
          <w:color w:val="auto"/>
        </w:rPr>
      </w:pPr>
    </w:p>
    <w:p>
      <w:pPr>
        <w:ind w:left="1080" w:hanging="532"/>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Article 2 of the UK Prospectus Regulation;</w:t>
      </w:r>
    </w:p>
    <w:p>
      <w:pPr>
        <w:spacing w:after="0" w:line="130" w:lineRule="exact"/>
        <w:rPr>
          <w:rFonts w:ascii="Times New Roman" w:cs="Times New Roman" w:eastAsia="Times New Roman" w:hAnsi="Times New Roman"/>
          <w:sz w:val="18"/>
          <w:szCs w:val="18"/>
          <w:color w:val="auto"/>
        </w:rPr>
      </w:pPr>
    </w:p>
    <w:p>
      <w:pPr>
        <w:ind w:left="1080" w:right="380" w:hanging="532"/>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Article 2 of the UK Prospectus Regulation), subject to obtaining the prior consent of the underwriter for any such offer; or</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Section 86 of the Financial Services and Markets Act 2000 (the “FMSA”),</w:t>
      </w:r>
    </w:p>
    <w:p>
      <w:pPr>
        <w:spacing w:after="0" w:line="223" w:lineRule="exact"/>
        <w:rPr>
          <w:sz w:val="20"/>
          <w:szCs w:val="20"/>
          <w:color w:val="auto"/>
        </w:rPr>
      </w:pPr>
    </w:p>
    <w:p>
      <w:pPr>
        <w:jc w:val="both"/>
        <w:ind w:left="120" w:right="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no such offer of the shares shall require us or the underwriter to publish a prospectus pursuant to Section 85 of the FSMA or supplement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prospectus pursuant to Article 23 of the UK Prospectus Regulation. For the purposes of this provision, the expression an “offer to the public” in relation to the shares in the United Kingdom means the communication in any form and by any means of sufficient information on the terms of the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S-25</w:t>
      </w:r>
    </w:p>
    <w:p>
      <w:pPr>
        <w:sectPr>
          <w:pgSz w:w="11900" w:h="16838" w:orient="portrait"/>
          <w:cols w:equalWidth="0" w:num="1">
            <w:col w:w="11120"/>
          </w:cols>
          <w:pgMar w:left="320" w:top="455"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520"/>
        <w:spacing w:after="0" w:line="312" w:lineRule="auto"/>
        <w:rPr>
          <w:sz w:val="20"/>
          <w:szCs w:val="20"/>
          <w:color w:val="auto"/>
        </w:rPr>
      </w:pPr>
      <w:r>
        <w:rPr>
          <w:rFonts w:ascii="Times New Roman" w:cs="Times New Roman" w:eastAsia="Times New Roman" w:hAnsi="Times New Roman"/>
          <w:sz w:val="17"/>
          <w:szCs w:val="17"/>
          <w:color w:val="auto"/>
        </w:rPr>
        <w:t>offer and any shares to be offered so as to enable an investor to decide to purchase or subscribe for any shares and the expression “UK Prospectus Regulation” means Regulation (EU) 2017/1129 as it forms part of domestic law by virtue of the European Union (Withdrawal) Act 2018.</w:t>
      </w:r>
    </w:p>
    <w:p>
      <w:pPr>
        <w:spacing w:after="0" w:line="140"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In addition, in the United Kingdom, this prospectus supplement or the accompanying prospectus is being distributed only to, and is directed only at, and any offer subsequently made may only be directed at persons who are “qualified investors” (as defined in the Prospectus Regulation) (i) who have professional experience in matters relating to investments falling within Article 19(5) of the Financial Services and Markets Act 2000 (Financial Promotion) Order 2005, as amended, or the Order, and/or (ii) who are high net worth companies (or persons to whom it may otherwise be lawfully communicated) falling within Article 49(2)(a) to (d) of the Order, or, all such persons together being referred to as relevant persons, or otherwise in circumstances which have not resulted and will not result in an offer to the public of the shares in the United Kingdom within the meaning of the Financial Services and Markets Act 2000.</w:t>
      </w:r>
    </w:p>
    <w:p>
      <w:pPr>
        <w:spacing w:after="0" w:line="18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Any person in the United Kingdom that is not a relevant person should not act or rely on the information included in this prospectus supplement or the accompanying prospectus or use it as basis for taking any action. In the United Kingdom, any investment or investment activity that this prospectus supplement or the accompanying prospectus relates to may be made or taken exclusively by relevant persons.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Canada</w:t>
      </w:r>
    </w:p>
    <w:p>
      <w:pPr>
        <w:spacing w:after="0" w:line="121" w:lineRule="exact"/>
        <w:rPr>
          <w:sz w:val="20"/>
          <w:szCs w:val="20"/>
          <w:color w:val="auto"/>
        </w:rPr>
      </w:pPr>
    </w:p>
    <w:p>
      <w:pPr>
        <w:ind w:left="120" w:right="400" w:firstLine="440"/>
        <w:spacing w:after="0" w:line="261" w:lineRule="auto"/>
        <w:rPr>
          <w:sz w:val="20"/>
          <w:szCs w:val="20"/>
          <w:color w:val="auto"/>
        </w:rPr>
      </w:pPr>
      <w:r>
        <w:rPr>
          <w:rFonts w:ascii="Times New Roman" w:cs="Times New Roman" w:eastAsia="Times New Roman" w:hAnsi="Times New Roman"/>
          <w:sz w:val="18"/>
          <w:szCs w:val="18"/>
          <w:color w:val="auto"/>
        </w:rPr>
        <w:t>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18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3"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Pursuant to section 3A.3 of National Instrument 33-105 Underwriting Conflicts (NI 33-105), the underwriter is not required to comply with the disclosure requirements of NI 33-105 regarding underwriter conflicts of interest in connection with this offering.</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S-26</w:t>
      </w:r>
    </w:p>
    <w:p>
      <w:pPr>
        <w:sectPr>
          <w:pgSz w:w="11900" w:h="16838" w:orient="portrait"/>
          <w:cols w:equalWidth="0" w:num="1">
            <w:col w:w="11120"/>
          </w:cols>
          <w:pgMar w:left="320" w:top="455"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validity of the shares of common stock offered hereby will be passed upon for us by Goodwin Procter LLP, Boston, Massachusetts. Wilmer Cutler Pickering Hale and Dorr LLP, New York, New York, is acting as counsel to the underwriter in connection with this offering.</w:t>
      </w:r>
    </w:p>
    <w:p>
      <w:pPr>
        <w:spacing w:after="0" w:line="9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S-27</w:t>
      </w:r>
    </w:p>
    <w:p>
      <w:pPr>
        <w:sectPr>
          <w:pgSz w:w="11900" w:h="16838" w:orient="portrait"/>
          <w:cols w:equalWidth="0" w:num="1">
            <w:col w:w="10920"/>
          </w:cols>
          <w:pgMar w:left="320" w:top="455" w:right="6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Disc Medicine, Inc. appearing in Disc Medicine, Inc.’s Annual Report (Form 10-K) for the years ended December 31, 2023 and 2022,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w:t>
      </w:r>
    </w:p>
    <w:p>
      <w:pPr>
        <w:spacing w:after="0" w:line="11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S-28</w:t>
      </w:r>
    </w:p>
    <w:p>
      <w:pPr>
        <w:sectPr>
          <w:pgSz w:w="11900" w:h="16838" w:orient="portrait"/>
          <w:cols w:equalWidth="0" w:num="1">
            <w:col w:w="10980"/>
          </w:cols>
          <w:pgMar w:left="320" w:top="455" w:right="5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Our SEC filings are available to the public over the Internet at the SEC’s website at www.sec.gov and on our investor website at www.discmedicine.com. Information contained on our website is not incorporated by reference into this prospectus supplement or the accompanying prospectus, and you should not consider any information on, or that can be accessed from, our website as part of this prospectus supplement or the accompanying prospectus.</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This prospectus supplement is part of a registration statement that we have filed with the SEC. Certain information in the registration statement has been omitted from this prospectus supplement in accordance with the rules of the SEC. For more detail about us and any securities that may be offered by this prospectus supplement, you may examine the registration statement of which this prospectus supplement forms a part, including its exhibits and schedules. Statements contained in this prospectus supplement and the accompanying prospectus as to the contents of any contract or other document are not necessarily complete, and in each instance we refer you to the copy of the contract or document filed as an exhibit to the registration statement, each such statement being qualified in all respects by such reference.</w:t>
      </w:r>
    </w:p>
    <w:p>
      <w:pPr>
        <w:spacing w:after="0" w:line="1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S-29</w:t>
      </w:r>
    </w:p>
    <w:p>
      <w:pPr>
        <w:sectPr>
          <w:pgSz w:w="11900" w:h="16838" w:orient="portrait"/>
          <w:cols w:equalWidth="0" w:num="1">
            <w:col w:w="11040"/>
          </w:cols>
          <w:pgMar w:left="320" w:top="455" w:right="5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The SEC allows us to incorporate by reference in this prospectus supplement much of the information we file with the SEC, which means that we can disclose important information to you by referring you to those publicly available documents. The information that we incorporate by reference in this prospectus supplement and the accompanying prospectus is considered to be part of this prospectus supplement. Because we are incorporating by reference future filings with the SEC, this prospectus supplement is continually updated and those future filings may modify or supersede some of the information included or incorporated in this prospectus supplement. This means that you must look at all of the SEC filings that we incorporate by reference to determine if any of the statements in this prospectus supplement or in any document previously incorporated by reference have been modified or superseded. This prospectus supplement incorporates by reference the documents listed below and any future filings we make with the SEC under Sections 13(a), 13(c), 14 or 15(d) of the Exchange Act, except as to any portion of any future report or document that is not deemed filed under such provisions until the offering of the securities offered hereby is terminated or completed:</w:t>
      </w:r>
    </w:p>
    <w:p>
      <w:pPr>
        <w:spacing w:after="0" w:line="94" w:lineRule="exact"/>
        <w:rPr>
          <w:sz w:val="20"/>
          <w:szCs w:val="20"/>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Annual Report on Form 10-K for the fiscal year ended December 31, 2023, filed with the SEC on </w:t>
      </w:r>
      <w:hyperlink r:id="rId55">
        <w:r>
          <w:rPr>
            <w:rFonts w:ascii="Times New Roman" w:cs="Times New Roman" w:eastAsia="Times New Roman" w:hAnsi="Times New Roman"/>
            <w:sz w:val="18"/>
            <w:szCs w:val="18"/>
            <w:u w:val="single" w:color="auto"/>
            <w:color w:val="0000EE"/>
          </w:rPr>
          <w:t>March 21, 2024</w:t>
        </w:r>
      </w:hyperlink>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Quarterly Report on Form 10-Q for the quarter ended March 31, 2024, filed with the SEC on </w:t>
      </w:r>
      <w:hyperlink r:id="rId56">
        <w:r>
          <w:rPr>
            <w:rFonts w:ascii="Times New Roman" w:cs="Times New Roman" w:eastAsia="Times New Roman" w:hAnsi="Times New Roman"/>
            <w:sz w:val="18"/>
            <w:szCs w:val="18"/>
            <w:u w:val="single" w:color="auto"/>
            <w:color w:val="0000EE"/>
          </w:rPr>
          <w:t>May 9, 2024</w:t>
        </w:r>
      </w:hyperlink>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23"/>
        </w:numPr>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auto"/>
          </w:rPr>
          <w:t xml:space="preserve">Current Reports on Form 8-K filed with the SEC on </w:t>
        </w:r>
        <w:r>
          <w:rPr>
            <w:rFonts w:ascii="Times New Roman" w:cs="Times New Roman" w:eastAsia="Times New Roman" w:hAnsi="Times New Roman"/>
            <w:sz w:val="18"/>
            <w:szCs w:val="18"/>
            <w:u w:val="single" w:color="auto"/>
            <w:color w:val="0000EE"/>
          </w:rPr>
          <w:t>February 7, 2024</w:t>
        </w:r>
        <w:r>
          <w:rPr>
            <w:rFonts w:ascii="Times New Roman" w:cs="Times New Roman" w:eastAsia="Times New Roman" w:hAnsi="Times New Roman"/>
            <w:sz w:val="18"/>
            <w:szCs w:val="18"/>
            <w:color w:val="auto"/>
          </w:rPr>
          <w:t xml:space="preserve"> (excluding information furnished pursuant to Item 7.01), </w:t>
        </w:r>
        <w:r>
          <w:rPr>
            <w:rFonts w:ascii="Times New Roman" w:cs="Times New Roman" w:eastAsia="Times New Roman" w:hAnsi="Times New Roman"/>
            <w:sz w:val="18"/>
            <w:szCs w:val="18"/>
            <w:u w:val="single" w:color="auto"/>
            <w:color w:val="0000EE"/>
          </w:rPr>
          <w:t>April 2,</w:t>
        </w:r>
      </w:hyperlink>
      <w:r>
        <w:rPr>
          <w:rFonts w:ascii="Times New Roman" w:cs="Times New Roman" w:eastAsia="Times New Roman" w:hAnsi="Times New Roman"/>
          <w:sz w:val="18"/>
          <w:szCs w:val="18"/>
          <w:color w:val="auto"/>
        </w:rPr>
        <w:t xml:space="preserve"> </w:t>
      </w:r>
      <w:hyperlink r:id="rId57">
        <w:r>
          <w:rPr>
            <w:rFonts w:ascii="Times New Roman" w:cs="Times New Roman" w:eastAsia="Times New Roman" w:hAnsi="Times New Roman"/>
            <w:sz w:val="18"/>
            <w:szCs w:val="18"/>
            <w:u w:val="single" w:color="auto"/>
            <w:color w:val="0000EE"/>
          </w:rPr>
          <w:t>2024</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(excluding information furnished pursuant to Item 7.01) and</w:t>
        </w:r>
        <w:r>
          <w:rPr>
            <w:rFonts w:ascii="Times New Roman" w:cs="Times New Roman" w:eastAsia="Times New Roman" w:hAnsi="Times New Roman"/>
            <w:sz w:val="18"/>
            <w:szCs w:val="18"/>
            <w:color w:val="0000EE"/>
          </w:rPr>
          <w:t xml:space="preserve"> </w:t>
        </w:r>
      </w:hyperlink>
      <w:hyperlink r:id="rId58">
        <w:r>
          <w:rPr>
            <w:rFonts w:ascii="Times New Roman" w:cs="Times New Roman" w:eastAsia="Times New Roman" w:hAnsi="Times New Roman"/>
            <w:sz w:val="18"/>
            <w:szCs w:val="18"/>
            <w:u w:val="single" w:color="auto"/>
            <w:color w:val="0000EE"/>
          </w:rPr>
          <w:t xml:space="preserve">June 14, 2024 </w:t>
        </w:r>
      </w:hyperlink>
      <w:hyperlink r:id="rId57">
        <w:r>
          <w:rPr>
            <w:rFonts w:ascii="Times New Roman" w:cs="Times New Roman" w:eastAsia="Times New Roman" w:hAnsi="Times New Roman"/>
            <w:sz w:val="18"/>
            <w:szCs w:val="18"/>
            <w:color w:val="000000"/>
          </w:rPr>
          <w:t>(excluding information furnished pursuant to Item 7.01);</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p>
    <w:p>
      <w:pPr>
        <w:spacing w:after="0" w:line="81" w:lineRule="exact"/>
        <w:rPr>
          <w:rFonts w:ascii="Times New Roman" w:cs="Times New Roman" w:eastAsia="Times New Roman" w:hAnsi="Times New Roman"/>
          <w:sz w:val="18"/>
          <w:szCs w:val="18"/>
          <w:color w:val="0000EE"/>
        </w:rPr>
      </w:pPr>
    </w:p>
    <w:p>
      <w:pPr>
        <w:ind w:left="1080" w:right="60" w:hanging="424"/>
        <w:spacing w:after="0" w:line="258"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our Registration Statement on Form 8-A filed with the SEC on </w:t>
      </w:r>
      <w:hyperlink r:id="rId59">
        <w:r>
          <w:rPr>
            <w:rFonts w:ascii="Times New Roman" w:cs="Times New Roman" w:eastAsia="Times New Roman" w:hAnsi="Times New Roman"/>
            <w:sz w:val="18"/>
            <w:szCs w:val="18"/>
            <w:u w:val="single" w:color="auto"/>
            <w:color w:val="0000EE"/>
          </w:rPr>
          <w:t>August 10, 2020</w:t>
        </w:r>
      </w:hyperlink>
      <w:r>
        <w:rPr>
          <w:rFonts w:ascii="Times New Roman" w:cs="Times New Roman" w:eastAsia="Times New Roman" w:hAnsi="Times New Roman"/>
          <w:sz w:val="18"/>
          <w:szCs w:val="18"/>
          <w:color w:val="auto"/>
        </w:rPr>
        <w:t xml:space="preserve">, and as set forth by the description of our common stock set forth in </w:t>
      </w:r>
      <w:hyperlink r:id="rId60">
        <w:r>
          <w:rPr>
            <w:rFonts w:ascii="Times New Roman" w:cs="Times New Roman" w:eastAsia="Times New Roman" w:hAnsi="Times New Roman"/>
            <w:sz w:val="18"/>
            <w:szCs w:val="18"/>
            <w:u w:val="single" w:color="auto"/>
            <w:color w:val="0000EE"/>
          </w:rPr>
          <w:t>Exhibit 4.4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to our Annual Report on Form 10-K for the year ended December 31, 2021, filed with the SEC on </w:t>
      </w:r>
      <w:hyperlink r:id="rId61">
        <w:r>
          <w:rPr>
            <w:rFonts w:ascii="Times New Roman" w:cs="Times New Roman" w:eastAsia="Times New Roman" w:hAnsi="Times New Roman"/>
            <w:sz w:val="18"/>
            <w:szCs w:val="18"/>
            <w:u w:val="single" w:color="auto"/>
            <w:color w:val="0000EE"/>
          </w:rPr>
          <w:t>March 10, 2022</w:t>
        </w:r>
      </w:hyperlink>
      <w:r>
        <w:rPr>
          <w:rFonts w:ascii="Times New Roman" w:cs="Times New Roman" w:eastAsia="Times New Roman" w:hAnsi="Times New Roman"/>
          <w:sz w:val="18"/>
          <w:szCs w:val="18"/>
          <w:color w:val="auto"/>
        </w:rPr>
        <w:t xml:space="preserve">, and as further supplemented by the description of our common stock set forth in our Registration Statement on Form S-4/A, filed with the SEC on </w:t>
      </w:r>
      <w:hyperlink r:id="rId62">
        <w:r>
          <w:rPr>
            <w:rFonts w:ascii="Times New Roman" w:cs="Times New Roman" w:eastAsia="Times New Roman" w:hAnsi="Times New Roman"/>
            <w:sz w:val="18"/>
            <w:szCs w:val="18"/>
            <w:u w:val="single" w:color="auto"/>
            <w:color w:val="0000EE"/>
          </w:rPr>
          <w:t>December 1, 2022</w:t>
        </w:r>
      </w:hyperlink>
      <w:r>
        <w:rPr>
          <w:rFonts w:ascii="Times New Roman" w:cs="Times New Roman" w:eastAsia="Times New Roman" w:hAnsi="Times New Roman"/>
          <w:sz w:val="18"/>
          <w:szCs w:val="18"/>
          <w:color w:val="auto"/>
        </w:rPr>
        <w:t>, including any amendments or reports filed for the purpose of updating such description.</w:t>
      </w:r>
    </w:p>
    <w:p>
      <w:pPr>
        <w:spacing w:after="0" w:line="183" w:lineRule="exact"/>
        <w:rPr>
          <w:rFonts w:ascii="Times New Roman" w:cs="Times New Roman" w:eastAsia="Times New Roman" w:hAnsi="Times New Roman"/>
          <w:sz w:val="18"/>
          <w:szCs w:val="18"/>
          <w:color w:val="auto"/>
        </w:rPr>
      </w:pPr>
    </w:p>
    <w:p>
      <w:pPr>
        <w:ind w:left="560"/>
        <w:spacing w:after="0"/>
        <w:rPr>
          <w:sz w:val="20"/>
          <w:szCs w:val="20"/>
          <w:color w:val="auto"/>
        </w:rPr>
      </w:pPr>
      <w:r>
        <w:rPr>
          <w:rFonts w:ascii="Times New Roman" w:cs="Times New Roman" w:eastAsia="Times New Roman" w:hAnsi="Times New Roman"/>
          <w:sz w:val="18"/>
          <w:szCs w:val="18"/>
          <w:color w:val="auto"/>
        </w:rPr>
        <w:t>You may request a copy of these filings, at no cost, by writing or telephoning us at the following address or telephone number:</w:t>
      </w:r>
    </w:p>
    <w:p>
      <w:pPr>
        <w:spacing w:after="0" w:line="225"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Disc Medicine, Inc.</w:t>
      </w:r>
    </w:p>
    <w:p>
      <w:pPr>
        <w:spacing w:after="0" w:line="27"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321 Arsenal Street, Suite 101</w:t>
      </w:r>
    </w:p>
    <w:p>
      <w:pPr>
        <w:spacing w:after="0" w:line="9"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Watertown, MA 02472</w:t>
      </w:r>
    </w:p>
    <w:p>
      <w:pPr>
        <w:spacing w:after="0" w:line="9"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Attn: Investor Relations</w:t>
      </w:r>
    </w:p>
    <w:p>
      <w:pPr>
        <w:spacing w:after="0" w:line="9"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(617) 674-9274</w:t>
      </w:r>
    </w:p>
    <w:p>
      <w:pPr>
        <w:spacing w:after="0" w:line="205" w:lineRule="exact"/>
        <w:rPr>
          <w:rFonts w:ascii="Times New Roman" w:cs="Times New Roman" w:eastAsia="Times New Roman" w:hAnsi="Times New Roman"/>
          <w:sz w:val="18"/>
          <w:szCs w:val="18"/>
          <w:color w:val="auto"/>
        </w:rPr>
      </w:pPr>
    </w:p>
    <w:p>
      <w:pPr>
        <w:ind w:left="120" w:right="80" w:firstLine="440"/>
        <w:spacing w:after="0" w:line="290" w:lineRule="auto"/>
        <w:rPr>
          <w:sz w:val="20"/>
          <w:szCs w:val="20"/>
          <w:color w:val="auto"/>
        </w:rPr>
      </w:pPr>
      <w:r>
        <w:rPr>
          <w:rFonts w:ascii="Times New Roman" w:cs="Times New Roman" w:eastAsia="Times New Roman" w:hAnsi="Times New Roman"/>
          <w:sz w:val="17"/>
          <w:szCs w:val="17"/>
          <w:color w:val="auto"/>
        </w:rPr>
        <w:t xml:space="preserve">You may also access these documents, free of charge on the SEC’s website at </w:t>
      </w:r>
      <w:r>
        <w:rPr>
          <w:rFonts w:ascii="Times New Roman" w:cs="Times New Roman" w:eastAsia="Times New Roman" w:hAnsi="Times New Roman"/>
          <w:sz w:val="17"/>
          <w:szCs w:val="17"/>
          <w:i w:val="1"/>
          <w:iCs w:val="1"/>
          <w:color w:val="auto"/>
        </w:rPr>
        <w:t>www.sec.gov</w:t>
      </w:r>
      <w:r>
        <w:rPr>
          <w:rFonts w:ascii="Times New Roman" w:cs="Times New Roman" w:eastAsia="Times New Roman" w:hAnsi="Times New Roman"/>
          <w:sz w:val="17"/>
          <w:szCs w:val="17"/>
          <w:color w:val="auto"/>
        </w:rPr>
        <w:t xml:space="preserve"> or on our website at </w:t>
      </w:r>
      <w:r>
        <w:rPr>
          <w:rFonts w:ascii="Times New Roman" w:cs="Times New Roman" w:eastAsia="Times New Roman" w:hAnsi="Times New Roman"/>
          <w:sz w:val="17"/>
          <w:szCs w:val="17"/>
          <w:i w:val="1"/>
          <w:iCs w:val="1"/>
          <w:color w:val="auto"/>
        </w:rPr>
        <w:t>www.discmedicine.com</w:t>
      </w:r>
      <w:r>
        <w:rPr>
          <w:rFonts w:ascii="Times New Roman" w:cs="Times New Roman" w:eastAsia="Times New Roman" w:hAnsi="Times New Roman"/>
          <w:sz w:val="17"/>
          <w:szCs w:val="17"/>
          <w:color w:val="auto"/>
        </w:rPr>
        <w:t>. Information contained on our website is not incorporated by reference into this prospectus supplement or the accompanying prospectus, and you should not consider any information on, or that can be accessed from, our website as part of this prospectus supplement or the accompanying prospectus.</w:t>
      </w:r>
    </w:p>
    <w:p>
      <w:pPr>
        <w:spacing w:after="0" w:line="157" w:lineRule="exact"/>
        <w:rPr>
          <w:rFonts w:ascii="Times New Roman" w:cs="Times New Roman" w:eastAsia="Times New Roman" w:hAnsi="Times New Roman"/>
          <w:sz w:val="18"/>
          <w:szCs w:val="18"/>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Notwithstanding the foregoing, unless specifically stated to the contrary, information that we furnish (and that is not deemed “filed” with the SEC) under Items 2.02 and 7.01 of any Current Report on Form 8-K, including the related exhibits under Item 9.01, is not incorporated by reference into this prospectus supplement or the accompanying prospectus.</w:t>
      </w:r>
    </w:p>
    <w:p>
      <w:pPr>
        <w:spacing w:after="0" w:line="176" w:lineRule="exact"/>
        <w:rPr>
          <w:rFonts w:ascii="Times New Roman" w:cs="Times New Roman" w:eastAsia="Times New Roman" w:hAnsi="Times New Roman"/>
          <w:sz w:val="18"/>
          <w:szCs w:val="18"/>
          <w:color w:val="auto"/>
        </w:rPr>
      </w:pPr>
    </w:p>
    <w:p>
      <w:pPr>
        <w:jc w:val="both"/>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In accordance with Rule 412 of the Securities Act, any statement contained in a document incorporated by reference herein shall be deemed modified or superseded to the extent that a statement contained herein or in any other subsequently filed document which also is or is deemed to be incorporated by reference herein modifies or supersedes such statement.</w:t>
      </w:r>
    </w:p>
    <w:p>
      <w:pPr>
        <w:spacing w:after="0" w:line="108"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S-30</w:t>
      </w:r>
    </w:p>
    <w:p>
      <w:pPr>
        <w:sectPr>
          <w:pgSz w:w="11900" w:h="16838" w:orient="portrait"/>
          <w:cols w:equalWidth="0" w:num="1">
            <w:col w:w="11120"/>
          </w:cols>
          <w:pgMar w:left="320" w:top="455" w:right="4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0" w:lineRule="exact"/>
        <w:rPr>
          <w:sz w:val="20"/>
          <w:szCs w:val="20"/>
          <w:color w:val="auto"/>
        </w:rPr>
      </w:pPr>
    </w:p>
    <w:p>
      <w:pPr>
        <w:spacing w:after="0" w:line="25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1710690</wp:posOffset>
            </wp:positionH>
            <wp:positionV relativeFrom="paragraph">
              <wp:posOffset>173990</wp:posOffset>
            </wp:positionV>
            <wp:extent cx="3720465" cy="5657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4">
                      <a:extLst>
                        <a:ext uri="{28A0092B-C50C-407E-A947-70E740481C1C}"/>
                      </a:extLst>
                    </a:blip>
                    <a:srcRect/>
                    <a:stretch>
                      <a:fillRect/>
                    </a:stretch>
                  </pic:blipFill>
                  <pic:spPr bwMode="auto">
                    <a:xfrm>
                      <a:off x="0" y="0"/>
                      <a:ext cx="372046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$400,000,000</w:t>
      </w:r>
    </w:p>
    <w:p>
      <w:pPr>
        <w:spacing w:after="0" w:line="2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4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Preferred Stock</w:t>
      </w:r>
    </w:p>
    <w:p>
      <w:pPr>
        <w:spacing w:after="0" w:line="1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1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Warrants</w:t>
      </w:r>
    </w:p>
    <w:p>
      <w:pPr>
        <w:spacing w:after="0" w:line="1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225425</wp:posOffset>
            </wp:positionV>
            <wp:extent cx="14744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From time to time, we may offer and sell up to $400,000,000 in aggregate principal amount of our Common Stock, Preferred Stock, Debt Securities, Warrants or Units, in each case in one or more issuances and at prices and on terms that we will determine at the time of the offering.</w:t>
      </w:r>
    </w:p>
    <w:p>
      <w:pPr>
        <w:spacing w:after="0" w:line="162"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This prospectus describes the general manner in which any of these securities may be offered using this prospectus. We will specify in an accompanying prospectus supplement the terms of the securities offered and other details regarding the offering thereof. The supplement may also add, update or change information contained in this prospectus with respect to that offering.</w:t>
      </w:r>
    </w:p>
    <w:p>
      <w:pPr>
        <w:spacing w:after="0" w:line="176"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Global Market under the symbol “IRON.” On November 16, 2023, the closing price of our common stock, as reported on The Nasdaq Global Market, was $48.36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200025</wp:posOffset>
            </wp:positionV>
            <wp:extent cx="14744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left="120" w:right="260"/>
        <w:spacing w:after="0" w:line="238" w:lineRule="auto"/>
        <w:rPr>
          <w:sz w:val="20"/>
          <w:szCs w:val="20"/>
          <w:color w:val="auto"/>
        </w:rPr>
      </w:pPr>
      <w:r>
        <w:rPr>
          <w:rFonts w:ascii="Times New Roman" w:cs="Times New Roman" w:eastAsia="Times New Roman" w:hAnsi="Times New Roman"/>
          <w:sz w:val="22"/>
          <w:szCs w:val="22"/>
          <w:b w:val="1"/>
          <w:bCs w:val="1"/>
          <w:color w:val="auto"/>
        </w:rPr>
        <w:t>Investing in our securities involves risks. You should review carefully the risks and uncertainties described under the heading “</w:t>
      </w:r>
      <w:r>
        <w:rPr>
          <w:rFonts w:ascii="Times New Roman" w:cs="Times New Roman" w:eastAsia="Times New Roman" w:hAnsi="Times New Roman"/>
          <w:sz w:val="22"/>
          <w:szCs w:val="22"/>
          <w:b w:val="1"/>
          <w:bCs w:val="1"/>
          <w:i w:val="1"/>
          <w:iCs w:val="1"/>
          <w:u w:val="single" w:color="auto"/>
          <w:color w:val="0000EE"/>
        </w:rPr>
        <w:t>Risk Factors</w:t>
      </w:r>
      <w:r>
        <w:rPr>
          <w:rFonts w:ascii="Times New Roman" w:cs="Times New Roman" w:eastAsia="Times New Roman" w:hAnsi="Times New Roman"/>
          <w:sz w:val="22"/>
          <w:szCs w:val="22"/>
          <w:b w:val="1"/>
          <w:bCs w:val="1"/>
          <w:color w:val="auto"/>
        </w:rPr>
        <w:t>” on page 11 of this prospectus and under any similar heading in the documents that are incorporated by reference into this prospectus, as well as “</w:t>
      </w:r>
      <w:r>
        <w:rPr>
          <w:rFonts w:ascii="Times New Roman" w:cs="Times New Roman" w:eastAsia="Times New Roman" w:hAnsi="Times New Roman"/>
          <w:sz w:val="22"/>
          <w:szCs w:val="22"/>
          <w:b w:val="1"/>
          <w:bCs w:val="1"/>
          <w:i w:val="1"/>
          <w:iCs w:val="1"/>
          <w:color w:val="auto"/>
        </w:rPr>
        <w:t>Special Note Regarding Forward-Looking Statements</w:t>
      </w:r>
      <w:r>
        <w:rPr>
          <w:rFonts w:ascii="Times New Roman" w:cs="Times New Roman" w:eastAsia="Times New Roman" w:hAnsi="Times New Roman"/>
          <w:sz w:val="22"/>
          <w:szCs w:val="22"/>
          <w:b w:val="1"/>
          <w:bCs w:val="1"/>
          <w:color w:val="auto"/>
        </w:rPr>
        <w:t>” on page 4 of this prospectus. You should read the entire prospectus and any applicable prospectus supplement carefully before you make your investment decision.</w:t>
      </w:r>
    </w:p>
    <w:p>
      <w:pPr>
        <w:spacing w:after="0" w:line="190"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The securities covered by this prospectus may be sold directly by us to investors, through agents designated by us from time to time or through underwriters or dealers at prices and on terms to be determined at the time of offering. We will include in an applicable prospectus supplement the names of any underwriters or agents and any applicable commissions or discounts. Additional information on the methods of sale appears under “</w:t>
      </w:r>
      <w:r>
        <w:rPr>
          <w:rFonts w:ascii="Times New Roman" w:cs="Times New Roman" w:eastAsia="Times New Roman" w:hAnsi="Times New Roman"/>
          <w:sz w:val="18"/>
          <w:szCs w:val="18"/>
          <w:i w:val="1"/>
          <w:iCs w:val="1"/>
          <w:color w:val="auto"/>
        </w:rPr>
        <w:t>Plan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Distribution</w:t>
      </w:r>
      <w:r>
        <w:rPr>
          <w:rFonts w:ascii="Times New Roman" w:cs="Times New Roman" w:eastAsia="Times New Roman" w:hAnsi="Times New Roman"/>
          <w:sz w:val="18"/>
          <w:szCs w:val="18"/>
          <w:color w:val="auto"/>
        </w:rPr>
        <w:t>” in this prospectus. We will also describe in an applicable prospectus supplement the way(s) in which we expect to use the net proceeds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receive from any sale.</w:t>
      </w:r>
    </w:p>
    <w:p>
      <w:pPr>
        <w:spacing w:after="0" w:line="179" w:lineRule="exact"/>
        <w:rPr>
          <w:sz w:val="20"/>
          <w:szCs w:val="20"/>
          <w:color w:val="auto"/>
        </w:rPr>
      </w:pPr>
    </w:p>
    <w:p>
      <w:pPr>
        <w:ind w:left="120" w:right="56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5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This prospectus may not be used to offer or sell any securities unless accompanied by a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251460</wp:posOffset>
            </wp:positionV>
            <wp:extent cx="14744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The date of this prospectus is November 29, 2023.</w:t>
      </w:r>
    </w:p>
    <w:p>
      <w:pPr>
        <w:sectPr>
          <w:pgSz w:w="11900" w:h="16838" w:orient="portrait"/>
          <w:cols w:equalWidth="0" w:num="1">
            <w:col w:w="11100"/>
          </w:cols>
          <w:pgMar w:left="320" w:top="455" w:right="4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4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2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Page</w:t>
            </w:r>
          </w:p>
        </w:tc>
      </w:tr>
      <w:tr>
        <w:trPr>
          <w:trHeight w:val="194"/>
        </w:trPr>
        <w:tc>
          <w:tcPr>
            <w:tcW w:w="8000" w:type="dxa"/>
            <w:vAlign w:val="bottom"/>
            <w:gridSpan w:val="18"/>
          </w:tcPr>
          <w:p>
            <w:pPr>
              <w:spacing w:after="0" w:line="194" w:lineRule="exact"/>
              <w:rPr>
                <w:sz w:val="20"/>
                <w:szCs w:val="20"/>
                <w:color w:val="auto"/>
              </w:rPr>
            </w:pPr>
            <w:r>
              <w:rPr>
                <w:rFonts w:ascii="Times New Roman" w:cs="Times New Roman" w:eastAsia="Times New Roman" w:hAnsi="Times New Roman"/>
                <w:sz w:val="18"/>
                <w:szCs w:val="18"/>
                <w:color w:val="0000EE"/>
              </w:rPr>
              <w:t>ABOUT THIS PROSPECTUS</w:t>
            </w:r>
          </w:p>
        </w:tc>
        <w:tc>
          <w:tcPr>
            <w:tcW w:w="29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80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518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OF CERTAIN INFORMATION BY REFERENCE</w:t>
            </w:r>
          </w:p>
        </w:tc>
        <w:tc>
          <w:tcPr>
            <w:tcW w:w="2820" w:type="dxa"/>
            <w:vAlign w:val="bottom"/>
            <w:gridSpan w:val="2"/>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196"/>
        </w:trPr>
        <w:tc>
          <w:tcPr>
            <w:tcW w:w="80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194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7"/>
              </w:rPr>
              <w:t>ABOUT THE COMPANY</w:t>
            </w:r>
          </w:p>
        </w:tc>
        <w:tc>
          <w:tcPr>
            <w:tcW w:w="3380" w:type="dxa"/>
            <w:vAlign w:val="bottom"/>
            <w:tcBorders>
              <w:top w:val="single" w:sz="8" w:color="0000EE"/>
            </w:tcBorders>
            <w:gridSpan w:val="11"/>
          </w:tcPr>
          <w:p>
            <w:pPr>
              <w:spacing w:after="0"/>
              <w:rPr>
                <w:sz w:val="17"/>
                <w:szCs w:val="17"/>
                <w:color w:val="auto"/>
              </w:rPr>
            </w:pPr>
          </w:p>
        </w:tc>
        <w:tc>
          <w:tcPr>
            <w:tcW w:w="2680" w:type="dxa"/>
            <w:vAlign w:val="bottom"/>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80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20" w:type="dxa"/>
            <w:vAlign w:val="bottom"/>
            <w:gridSpan w:val="4"/>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80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SELECTED FINANCIAL DATA</w:t>
            </w: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r>
      <w:tr>
        <w:trPr>
          <w:trHeight w:val="196"/>
        </w:trPr>
        <w:tc>
          <w:tcPr>
            <w:tcW w:w="160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USE OF PROCEEDS</w:t>
            </w:r>
          </w:p>
        </w:tc>
        <w:tc>
          <w:tcPr>
            <w:tcW w:w="820" w:type="dxa"/>
            <w:vAlign w:val="bottom"/>
            <w:tcBorders>
              <w:top w:val="single" w:sz="8" w:color="0000EE"/>
            </w:tcBorders>
            <w:gridSpan w:val="5"/>
          </w:tcPr>
          <w:p>
            <w:pPr>
              <w:spacing w:after="0"/>
              <w:rPr>
                <w:sz w:val="17"/>
                <w:szCs w:val="17"/>
                <w:color w:val="auto"/>
              </w:rPr>
            </w:pPr>
          </w:p>
        </w:tc>
        <w:tc>
          <w:tcPr>
            <w:tcW w:w="5580" w:type="dxa"/>
            <w:vAlign w:val="bottom"/>
            <w:gridSpan w:val="8"/>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r>
      <w:tr>
        <w:trPr>
          <w:trHeight w:val="196"/>
        </w:trPr>
        <w:tc>
          <w:tcPr>
            <w:tcW w:w="158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DIVIDEND POLICY</w:t>
            </w:r>
          </w:p>
        </w:tc>
        <w:tc>
          <w:tcPr>
            <w:tcW w:w="6420" w:type="dxa"/>
            <w:vAlign w:val="bottom"/>
            <w:gridSpan w:val="14"/>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r>
      <w:tr>
        <w:trPr>
          <w:trHeight w:val="196"/>
        </w:trPr>
        <w:tc>
          <w:tcPr>
            <w:tcW w:w="80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GENERAL DESCRIPTION OF SECURITIES</w:t>
            </w: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r>
      <w:tr>
        <w:trPr>
          <w:trHeight w:val="196"/>
        </w:trPr>
        <w:tc>
          <w:tcPr>
            <w:tcW w:w="3380" w:type="dxa"/>
            <w:vAlign w:val="bottom"/>
            <w:tcBorders>
              <w:top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4620" w:type="dxa"/>
            <w:vAlign w:val="bottom"/>
            <w:gridSpan w:val="4"/>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980" w:type="dxa"/>
            <w:vAlign w:val="bottom"/>
            <w:gridSpan w:val="5"/>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302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4980" w:type="dxa"/>
            <w:vAlign w:val="bottom"/>
            <w:gridSpan w:val="5"/>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r>
      <w:tr>
        <w:trPr>
          <w:trHeight w:val="196"/>
        </w:trPr>
        <w:tc>
          <w:tcPr>
            <w:tcW w:w="248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WARRANTS</w:t>
            </w:r>
          </w:p>
        </w:tc>
        <w:tc>
          <w:tcPr>
            <w:tcW w:w="5520" w:type="dxa"/>
            <w:vAlign w:val="bottom"/>
            <w:gridSpan w:val="7"/>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r>
      <w:tr>
        <w:trPr>
          <w:trHeight w:val="196"/>
        </w:trPr>
        <w:tc>
          <w:tcPr>
            <w:tcW w:w="202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UNITS</w:t>
            </w:r>
          </w:p>
        </w:tc>
        <w:tc>
          <w:tcPr>
            <w:tcW w:w="5980" w:type="dxa"/>
            <w:vAlign w:val="bottom"/>
            <w:gridSpan w:val="11"/>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r>
      <w:tr>
        <w:trPr>
          <w:trHeight w:val="196"/>
        </w:trPr>
        <w:tc>
          <w:tcPr>
            <w:tcW w:w="80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r>
      <w:tr>
        <w:trPr>
          <w:trHeight w:val="196"/>
        </w:trPr>
        <w:tc>
          <w:tcPr>
            <w:tcW w:w="146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5"/>
          </w:tcPr>
          <w:p>
            <w:pPr>
              <w:spacing w:after="0"/>
              <w:rPr>
                <w:sz w:val="17"/>
                <w:szCs w:val="17"/>
                <w:color w:val="auto"/>
              </w:rPr>
            </w:pPr>
          </w:p>
        </w:tc>
        <w:tc>
          <w:tcPr>
            <w:tcW w:w="5960" w:type="dxa"/>
            <w:vAlign w:val="bottom"/>
            <w:gridSpan w:val="10"/>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r>
      <w:tr>
        <w:trPr>
          <w:trHeight w:val="196"/>
        </w:trPr>
        <w:tc>
          <w:tcPr>
            <w:tcW w:w="80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bl>
    <w:p>
      <w:pPr>
        <w:spacing w:after="0" w:line="221"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contained or incorporated by reference in this prospectus and in an applicable prospectus supplement to this prospectus. We have not authorized any other person to provide you with different or additional information. If anyone provides you with different, additional or inconsistent information, you should not rely on it. We do not take responsibility for, and can provide no assurance as to the reliability of, any other information that others may give you. We are not making an offer to sell these securities or soliciting any offer to buy these securities in any jurisdiction where the offer or sale is not permitted. You should assume that the information appearing in this prospectus, any applicable prospectus supplement or any free writing prospectus we authorize to be delivered to you is accurate only as of the date of that document or any other date set forth in that document. Additionally, any information we have incorporated by reference in this prospectus or in any applicable prospectus supplement is accurate only as of the date of the document incorporated by reference or other date set forth in that document, regardless of the time of delivery of this prospectus, any applicable prospectus supplement or any sale of securities. Our business, financial condition, results of operations, cash flow and prospects may have changed since that date.</w:t>
      </w:r>
    </w:p>
    <w:p>
      <w:pPr>
        <w:spacing w:after="0" w:line="185" w:lineRule="exact"/>
        <w:rPr>
          <w:sz w:val="20"/>
          <w:szCs w:val="20"/>
          <w:color w:val="auto"/>
        </w:rPr>
      </w:pPr>
    </w:p>
    <w:p>
      <w:pPr>
        <w:ind w:left="120"/>
        <w:spacing w:after="0" w:line="259" w:lineRule="auto"/>
        <w:rPr>
          <w:sz w:val="20"/>
          <w:szCs w:val="20"/>
          <w:color w:val="auto"/>
        </w:rPr>
      </w:pPr>
      <w:r>
        <w:rPr>
          <w:rFonts w:ascii="Times New Roman" w:cs="Times New Roman" w:eastAsia="Times New Roman" w:hAnsi="Times New Roman"/>
          <w:sz w:val="18"/>
          <w:szCs w:val="18"/>
          <w:b w:val="1"/>
          <w:bCs w:val="1"/>
          <w:color w:val="auto"/>
        </w:rPr>
        <w:t>On December 29, 2022, we acquired Disc Medicine Opco, Inc. (formerly Disc Medicine, Inc.), or Private Disc, pursuant to an agreement and plan of merger, or the Merger, and we changed our name to Disc Medicine, Inc. on December 29, 2022. As used in this prospectus, unless the context otherwise requires, references to “Disc,” the “Company,” “we,” “us” and “our” refer to (i) prior to the date of the Merger, Private Disc, and its wholly owned, consolidated subsidiaries, or either or all of them as the context may require, and (ii) following the date of the Merger, Disc Medicine, Inc., and its wholly owned, consolidated subsidiaries, or either or all of them as the context may require.</w:t>
      </w:r>
    </w:p>
    <w:p>
      <w:pPr>
        <w:sectPr>
          <w:pgSz w:w="11900" w:h="16838" w:orient="portrait"/>
          <w:cols w:equalWidth="0" w:num="1">
            <w:col w:w="11100"/>
          </w:cols>
          <w:pgMar w:left="320" w:top="455" w:right="4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S-3 that we have filed with the Securities and Exchange Commission, or the SEC, using a “shelf” registration process.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Under this process, we may sell the securities described in this prospectus in one or more offerings for an aggregate offering amount of up to</w:t>
      </w:r>
    </w:p>
    <w:p>
      <w:pPr>
        <w:spacing w:after="0" w:line="27"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$400,000,000. This prospectus describes the general manner in which we may offer the securities described in this prospectus. Each time we sell securities pursuant to this registration statement, we will provide a prospectus supplement that will contain specific information about the offering and the securities offered, and may also add, update or change information contained in this prospectus. We may also authorize one or more free writing prospectuses to be provided to you that may contain material information relating to these offerings. If there is any inconsistency between information in this prospectus and any accompanying prospectus supplement or free writing prospectus, you should rely on the information in the most recent applicable prospectus supplement or free writing prospectus and documents incorporated by reference herein and therein. This prospectus may not be used to offer to sell, solicit an offer to buy or consummate a sale of our securities unless it is accompanied by a prospectus supplement.</w:t>
      </w:r>
    </w:p>
    <w:p>
      <w:pPr>
        <w:spacing w:after="0" w:line="188"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This prospectus, together with any accompanying prospectus supplement together with any additional information incorporated by reference, contains important information you should know before investing in our securities, including important information about us and the securities being offered. You should carefully read both documents, as well as the additional information contained in the documents described under “</w:t>
      </w:r>
      <w:r>
        <w:rPr>
          <w:rFonts w:ascii="Times New Roman" w:cs="Times New Roman" w:eastAsia="Times New Roman" w:hAnsi="Times New Roman"/>
          <w:sz w:val="18"/>
          <w:szCs w:val="18"/>
          <w:i w:val="1"/>
          <w:iCs w:val="1"/>
          <w:color w:val="auto"/>
        </w:rPr>
        <w:t>Where You Can Find More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Information” </w:t>
      </w:r>
      <w:r>
        <w:rPr>
          <w:rFonts w:ascii="Times New Roman" w:cs="Times New Roman" w:eastAsia="Times New Roman" w:hAnsi="Times New Roman"/>
          <w:sz w:val="18"/>
          <w:szCs w:val="18"/>
          <w:color w:val="auto"/>
        </w:rPr>
        <w:t>and “</w:t>
      </w:r>
      <w:r>
        <w:rPr>
          <w:rFonts w:ascii="Times New Roman" w:cs="Times New Roman" w:eastAsia="Times New Roman" w:hAnsi="Times New Roman"/>
          <w:sz w:val="18"/>
          <w:szCs w:val="18"/>
          <w:i w:val="1"/>
          <w:iCs w:val="1"/>
          <w:color w:val="auto"/>
        </w:rPr>
        <w:t>Incorporation of Certain Information by Reference</w:t>
      </w:r>
      <w:r>
        <w:rPr>
          <w:rFonts w:ascii="Times New Roman" w:cs="Times New Roman" w:eastAsia="Times New Roman" w:hAnsi="Times New Roman"/>
          <w:sz w:val="18"/>
          <w:szCs w:val="18"/>
          <w:color w:val="auto"/>
        </w:rPr>
        <w:t>” in both this prospectus and the applicable prospectus supplement, and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particular the annual, quarterly and current reports and other documents we file with the SEC. Neither this prospectus nor any accompanying prospectus supplement is an offer to sell these securities or is soliciting an offer to buy these securities in any jurisdiction where the offer or sale is not permitted.</w:t>
      </w:r>
    </w:p>
    <w:p>
      <w:pPr>
        <w:spacing w:after="0" w:line="39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S-3 under the Securities Act of 1933, as amended, or the Securities Act, with respect to the securities offered by this prospectus and any applicable prospectus supplement. This prospectus and the applicable prospectus supplement do not contain all of the information set forth in the registration statement and its exhibits and schedules in accordance with SEC rules and regulations. For further information with respect to us and the securities being offered by this prospectus and the applicable prospectus supplement, you should read the registration statement, including its exhibits and schedules. Statements contained in this prospectus and the applicable prospectus supplement, including documents that we have incorporated by reference, as to the contents of any contract or other document referred to are not necessarily complete, and, with respect to any contract or other document filed as an exhibit to the registration statement or any other such document, each such statement is qualified in all respects by reference to the corresponding exhibit. You should review the complete contract or other document to evaluate these statements. You may obtain copies of the registration statement and its exhibits via the SEC’s EDGAR database or our website.</w:t>
      </w:r>
    </w:p>
    <w:p>
      <w:pPr>
        <w:spacing w:after="0" w:line="188" w:lineRule="exact"/>
        <w:rPr>
          <w:sz w:val="20"/>
          <w:szCs w:val="20"/>
          <w:color w:val="auto"/>
        </w:rPr>
      </w:pPr>
    </w:p>
    <w:p>
      <w:pPr>
        <w:jc w:val="both"/>
        <w:ind w:left="120" w:right="240"/>
        <w:spacing w:after="0" w:line="266"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proxy statements and other documents with the SEC under the U.S. Securities Exchange Act of 1934, as amended, or the Exchange Act. The SEC maintains a website that contains reports, proxy and information statements and other information regarding issuers, including us, that file electronically with the SEC. You may obtain documents that we file with the SEC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74" w:lineRule="exact"/>
        <w:rPr>
          <w:sz w:val="20"/>
          <w:szCs w:val="20"/>
          <w:color w:val="auto"/>
        </w:rPr>
      </w:pPr>
    </w:p>
    <w:p>
      <w:pPr>
        <w:ind w:left="120" w:right="240"/>
        <w:spacing w:after="0" w:line="267" w:lineRule="auto"/>
        <w:rPr>
          <w:sz w:val="20"/>
          <w:szCs w:val="20"/>
          <w:color w:val="auto"/>
        </w:rPr>
      </w:pPr>
      <w:r>
        <w:rPr>
          <w:rFonts w:ascii="Times New Roman" w:cs="Times New Roman" w:eastAsia="Times New Roman" w:hAnsi="Times New Roman"/>
          <w:sz w:val="18"/>
          <w:szCs w:val="18"/>
          <w:color w:val="auto"/>
        </w:rPr>
        <w:t xml:space="preserve">We also make these documents available on our website at </w:t>
      </w:r>
      <w:r>
        <w:rPr>
          <w:rFonts w:ascii="Times New Roman" w:cs="Times New Roman" w:eastAsia="Times New Roman" w:hAnsi="Times New Roman"/>
          <w:sz w:val="18"/>
          <w:szCs w:val="18"/>
          <w:i w:val="1"/>
          <w:iCs w:val="1"/>
          <w:color w:val="auto"/>
        </w:rPr>
        <w:t>www.discmedicine.com</w:t>
      </w:r>
      <w:r>
        <w:rPr>
          <w:rFonts w:ascii="Times New Roman" w:cs="Times New Roman" w:eastAsia="Times New Roman" w:hAnsi="Times New Roman"/>
          <w:sz w:val="18"/>
          <w:szCs w:val="18"/>
          <w:color w:val="auto"/>
        </w:rPr>
        <w:t>. Our website and the information contained or connected to our website is not incorporated by reference in this prospectus or any prospectus supplement, and you should not consider it part of this prospectus or any prospectus supplement.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40"/>
          </w:cols>
          <w:pgMar w:left="320" w:top="455" w:right="4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SEC rules permit us to incorporate information by reference in this prospectus and any applicable prospectus supplement. This means that we can disclose important information to you by referring you to another document filed separately with the SEC. The information incorporated by reference is considered to be part of this prospectus and any applicable prospectus supplement, except for information superseded by information contained in this prospectus or the applicable prospectus supplement itself or in any subsequently filed incorporated document. This prospectus and any applicable prospectus supplement incorporate by reference the documents set forth below that we have previously filed with the SEC, other than information in such documents that is deemed to be furnished and not filed. These documents contain important information about us and our business and financial condition.</w:t>
      </w:r>
    </w:p>
    <w:p>
      <w:pPr>
        <w:spacing w:after="0" w:line="94" w:lineRule="exact"/>
        <w:rPr>
          <w:sz w:val="20"/>
          <w:szCs w:val="20"/>
          <w:color w:val="auto"/>
        </w:rPr>
      </w:pPr>
    </w:p>
    <w:p>
      <w:pPr>
        <w:ind w:left="1080" w:right="30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Annual Reports on Form 10-K for the fiscal years ended </w:t>
      </w:r>
      <w:hyperlink r:id="rId71">
        <w:r>
          <w:rPr>
            <w:rFonts w:ascii="Times New Roman" w:cs="Times New Roman" w:eastAsia="Times New Roman" w:hAnsi="Times New Roman"/>
            <w:sz w:val="18"/>
            <w:szCs w:val="18"/>
            <w:u w:val="single" w:color="auto"/>
            <w:color w:val="0000EE"/>
          </w:rPr>
          <w:t>December 31, 2021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72">
        <w:r>
          <w:rPr>
            <w:rFonts w:ascii="Times New Roman" w:cs="Times New Roman" w:eastAsia="Times New Roman" w:hAnsi="Times New Roman"/>
            <w:sz w:val="18"/>
            <w:szCs w:val="18"/>
            <w:u w:val="single" w:color="auto"/>
            <w:color w:val="0000EE"/>
          </w:rPr>
          <w:t>December 31, 2022</w:t>
        </w:r>
      </w:hyperlink>
      <w:r>
        <w:rPr>
          <w:rFonts w:ascii="Times New Roman" w:cs="Times New Roman" w:eastAsia="Times New Roman" w:hAnsi="Times New Roman"/>
          <w:sz w:val="18"/>
          <w:szCs w:val="18"/>
          <w:color w:val="auto"/>
        </w:rPr>
        <w:t>, filed with the SEC on March 10, 2022 and March 31, 2023, respectively;</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Quarterly Reports on Form 10-Q for the quarters ended September 30, 2022, March 31, 2023, June 30, 2023 and September 30, 2023, filed with the SEC on </w:t>
      </w:r>
      <w:hyperlink r:id="rId73">
        <w:r>
          <w:rPr>
            <w:rFonts w:ascii="Times New Roman" w:cs="Times New Roman" w:eastAsia="Times New Roman" w:hAnsi="Times New Roman"/>
            <w:sz w:val="18"/>
            <w:szCs w:val="18"/>
            <w:u w:val="single" w:color="auto"/>
            <w:color w:val="0000EE"/>
          </w:rPr>
          <w:t>November 10, 2022</w:t>
        </w:r>
      </w:hyperlink>
      <w:r>
        <w:rPr>
          <w:rFonts w:ascii="Times New Roman" w:cs="Times New Roman" w:eastAsia="Times New Roman" w:hAnsi="Times New Roman"/>
          <w:sz w:val="18"/>
          <w:szCs w:val="18"/>
          <w:color w:val="auto"/>
        </w:rPr>
        <w:t xml:space="preserve">, </w:t>
      </w:r>
      <w:hyperlink r:id="rId74">
        <w:r>
          <w:rPr>
            <w:rFonts w:ascii="Times New Roman" w:cs="Times New Roman" w:eastAsia="Times New Roman" w:hAnsi="Times New Roman"/>
            <w:sz w:val="18"/>
            <w:szCs w:val="18"/>
            <w:u w:val="single" w:color="auto"/>
            <w:color w:val="0000EE"/>
          </w:rPr>
          <w:t>May 15, 2023</w:t>
        </w:r>
      </w:hyperlink>
      <w:r>
        <w:rPr>
          <w:rFonts w:ascii="Times New Roman" w:cs="Times New Roman" w:eastAsia="Times New Roman" w:hAnsi="Times New Roman"/>
          <w:sz w:val="18"/>
          <w:szCs w:val="18"/>
          <w:color w:val="auto"/>
        </w:rPr>
        <w:t xml:space="preserve">, </w:t>
      </w:r>
      <w:hyperlink r:id="rId75">
        <w:r>
          <w:rPr>
            <w:rFonts w:ascii="Times New Roman" w:cs="Times New Roman" w:eastAsia="Times New Roman" w:hAnsi="Times New Roman"/>
            <w:sz w:val="18"/>
            <w:szCs w:val="18"/>
            <w:u w:val="single" w:color="auto"/>
            <w:color w:val="0000EE"/>
          </w:rPr>
          <w:t>August 11,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76">
        <w:r>
          <w:rPr>
            <w:rFonts w:ascii="Times New Roman" w:cs="Times New Roman" w:eastAsia="Times New Roman" w:hAnsi="Times New Roman"/>
            <w:sz w:val="18"/>
            <w:szCs w:val="18"/>
            <w:u w:val="single" w:color="auto"/>
            <w:color w:val="0000EE"/>
          </w:rPr>
          <w:t>November 9, 2023</w:t>
        </w:r>
      </w:hyperlink>
      <w:r>
        <w:rPr>
          <w:rFonts w:ascii="Times New Roman" w:cs="Times New Roman" w:eastAsia="Times New Roman" w:hAnsi="Times New Roman"/>
          <w:sz w:val="18"/>
          <w:szCs w:val="18"/>
          <w:color w:val="auto"/>
        </w:rPr>
        <w:t>, respectively;</w:t>
      </w:r>
    </w:p>
    <w:p>
      <w:pPr>
        <w:spacing w:after="0" w:line="67" w:lineRule="exact"/>
        <w:rPr>
          <w:rFonts w:ascii="Times New Roman" w:cs="Times New Roman" w:eastAsia="Times New Roman" w:hAnsi="Times New Roman"/>
          <w:sz w:val="18"/>
          <w:szCs w:val="18"/>
          <w:color w:val="auto"/>
        </w:rPr>
      </w:pPr>
    </w:p>
    <w:p>
      <w:pPr>
        <w:ind w:left="1080" w:right="60" w:hanging="424"/>
        <w:spacing w:after="0" w:line="258" w:lineRule="auto"/>
        <w:tabs>
          <w:tab w:leader="none" w:pos="1080" w:val="left"/>
        </w:tabs>
        <w:numPr>
          <w:ilvl w:val="0"/>
          <w:numId w:val="24"/>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Current Reports on Form 8-K filed with the SEC on </w:t>
      </w:r>
      <w:hyperlink r:id="rId77">
        <w:r>
          <w:rPr>
            <w:rFonts w:ascii="Times New Roman" w:cs="Times New Roman" w:eastAsia="Times New Roman" w:hAnsi="Times New Roman"/>
            <w:sz w:val="18"/>
            <w:szCs w:val="18"/>
            <w:u w:val="single" w:color="auto"/>
            <w:color w:val="0000EE"/>
          </w:rPr>
          <w:t>December 29, 2022</w:t>
        </w:r>
      </w:hyperlink>
      <w:r>
        <w:rPr>
          <w:rFonts w:ascii="Times New Roman" w:cs="Times New Roman" w:eastAsia="Times New Roman" w:hAnsi="Times New Roman"/>
          <w:sz w:val="18"/>
          <w:szCs w:val="18"/>
          <w:color w:val="auto"/>
        </w:rPr>
        <w:t xml:space="preserve">, </w:t>
      </w:r>
      <w:hyperlink r:id="rId78">
        <w:r>
          <w:rPr>
            <w:rFonts w:ascii="Times New Roman" w:cs="Times New Roman" w:eastAsia="Times New Roman" w:hAnsi="Times New Roman"/>
            <w:sz w:val="18"/>
            <w:szCs w:val="18"/>
            <w:u w:val="single" w:color="auto"/>
            <w:color w:val="0000EE"/>
          </w:rPr>
          <w:t>January 23,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(excluding information furnished pursuant to Item 7.01), </w:t>
      </w:r>
      <w:hyperlink r:id="rId79">
        <w:r>
          <w:rPr>
            <w:rFonts w:ascii="Times New Roman" w:cs="Times New Roman" w:eastAsia="Times New Roman" w:hAnsi="Times New Roman"/>
            <w:sz w:val="18"/>
            <w:szCs w:val="18"/>
            <w:u w:val="single" w:color="auto"/>
            <w:color w:val="0000EE"/>
          </w:rPr>
          <w:t>January 25, 2023</w:t>
        </w:r>
      </w:hyperlink>
      <w:r>
        <w:rPr>
          <w:rFonts w:ascii="Times New Roman" w:cs="Times New Roman" w:eastAsia="Times New Roman" w:hAnsi="Times New Roman"/>
          <w:sz w:val="18"/>
          <w:szCs w:val="18"/>
          <w:color w:val="auto"/>
        </w:rPr>
        <w:t xml:space="preserve">, </w:t>
      </w:r>
      <w:hyperlink r:id="rId80">
        <w:r>
          <w:rPr>
            <w:rFonts w:ascii="Times New Roman" w:cs="Times New Roman" w:eastAsia="Times New Roman" w:hAnsi="Times New Roman"/>
            <w:sz w:val="18"/>
            <w:szCs w:val="18"/>
            <w:u w:val="single" w:color="auto"/>
            <w:color w:val="0000EE"/>
          </w:rPr>
          <w:t>February 14,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(excluding information furnished pursuant to Item 7.01), </w:t>
      </w:r>
      <w:hyperlink r:id="rId81">
        <w:r>
          <w:rPr>
            <w:rFonts w:ascii="Times New Roman" w:cs="Times New Roman" w:eastAsia="Times New Roman" w:hAnsi="Times New Roman"/>
            <w:sz w:val="18"/>
            <w:szCs w:val="18"/>
            <w:u w:val="single" w:color="auto"/>
            <w:color w:val="0000EE"/>
          </w:rPr>
          <w:t>March 31,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(excluding </w:t>
      </w:r>
      <w:hyperlink r:id="rId82">
        <w:r>
          <w:rPr>
            <w:rFonts w:ascii="Times New Roman" w:cs="Times New Roman" w:eastAsia="Times New Roman" w:hAnsi="Times New Roman"/>
            <w:sz w:val="18"/>
            <w:szCs w:val="18"/>
            <w:color w:val="auto"/>
          </w:rPr>
          <w:t xml:space="preserve">information furnished pursuant to Item 2.02), </w:t>
        </w:r>
        <w:r>
          <w:rPr>
            <w:rFonts w:ascii="Times New Roman" w:cs="Times New Roman" w:eastAsia="Times New Roman" w:hAnsi="Times New Roman"/>
            <w:sz w:val="18"/>
            <w:szCs w:val="18"/>
            <w:u w:val="single" w:color="auto"/>
            <w:color w:val="0000EE"/>
          </w:rPr>
          <w:t>April 19,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June 9, 2023</w:t>
        </w:r>
        <w:r>
          <w:rPr>
            <w:rFonts w:ascii="Times New Roman" w:cs="Times New Roman" w:eastAsia="Times New Roman" w:hAnsi="Times New Roman"/>
            <w:sz w:val="18"/>
            <w:szCs w:val="18"/>
            <w:color w:val="auto"/>
          </w:rPr>
          <w:t xml:space="preserve"> (excluding information furnished pursuant to Item 7.01), </w:t>
        </w:r>
        <w:r>
          <w:rPr>
            <w:rFonts w:ascii="Times New Roman" w:cs="Times New Roman" w:eastAsia="Times New Roman" w:hAnsi="Times New Roman"/>
            <w:sz w:val="18"/>
            <w:szCs w:val="18"/>
            <w:u w:val="single" w:color="auto"/>
            <w:color w:val="0000EE"/>
          </w:rPr>
          <w:t>June</w:t>
        </w:r>
      </w:hyperlink>
      <w:r>
        <w:rPr>
          <w:rFonts w:ascii="Times New Roman" w:cs="Times New Roman" w:eastAsia="Times New Roman" w:hAnsi="Times New Roman"/>
          <w:sz w:val="18"/>
          <w:szCs w:val="18"/>
          <w:color w:val="auto"/>
        </w:rPr>
        <w:t xml:space="preserve"> </w:t>
      </w:r>
      <w:hyperlink r:id="rId82">
        <w:r>
          <w:rPr>
            <w:rFonts w:ascii="Times New Roman" w:cs="Times New Roman" w:eastAsia="Times New Roman" w:hAnsi="Times New Roman"/>
            <w:sz w:val="18"/>
            <w:szCs w:val="18"/>
            <w:u w:val="single" w:color="auto"/>
            <w:color w:val="0000EE"/>
          </w:rPr>
          <w:t>9, 2023</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83">
        <w:r>
          <w:rPr>
            <w:rFonts w:ascii="Times New Roman" w:cs="Times New Roman" w:eastAsia="Times New Roman" w:hAnsi="Times New Roman"/>
            <w:sz w:val="18"/>
            <w:szCs w:val="18"/>
            <w:u w:val="single" w:color="auto"/>
            <w:color w:val="0000EE"/>
          </w:rPr>
          <w:t>June 12, 2023</w:t>
        </w:r>
      </w:hyperlink>
      <w:hyperlink r:id="rId82">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84">
        <w:r>
          <w:rPr>
            <w:rFonts w:ascii="Times New Roman" w:cs="Times New Roman" w:eastAsia="Times New Roman" w:hAnsi="Times New Roman"/>
            <w:sz w:val="18"/>
            <w:szCs w:val="18"/>
            <w:u w:val="single" w:color="auto"/>
            <w:color w:val="0000EE"/>
          </w:rPr>
          <w:t>June 16, 2023</w:t>
        </w:r>
      </w:hyperlink>
      <w:hyperlink r:id="rId82">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85">
        <w:r>
          <w:rPr>
            <w:rFonts w:ascii="Times New Roman" w:cs="Times New Roman" w:eastAsia="Times New Roman" w:hAnsi="Times New Roman"/>
            <w:sz w:val="18"/>
            <w:szCs w:val="18"/>
            <w:u w:val="single" w:color="auto"/>
            <w:color w:val="0000EE"/>
          </w:rPr>
          <w:t>September 29, 2023</w:t>
        </w:r>
      </w:hyperlink>
      <w:hyperlink r:id="rId82">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86">
        <w:r>
          <w:rPr>
            <w:rFonts w:ascii="Times New Roman" w:cs="Times New Roman" w:eastAsia="Times New Roman" w:hAnsi="Times New Roman"/>
            <w:sz w:val="18"/>
            <w:szCs w:val="18"/>
            <w:u w:val="single" w:color="auto"/>
            <w:color w:val="0000EE"/>
          </w:rPr>
          <w:t>October 10, 2023</w:t>
        </w:r>
      </w:hyperlink>
      <w:hyperlink r:id="rId82">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87">
        <w:r>
          <w:rPr>
            <w:rFonts w:ascii="Times New Roman" w:cs="Times New Roman" w:eastAsia="Times New Roman" w:hAnsi="Times New Roman"/>
            <w:sz w:val="18"/>
            <w:szCs w:val="18"/>
            <w:u w:val="single" w:color="auto"/>
            <w:color w:val="0000EE"/>
          </w:rPr>
          <w:t xml:space="preserve">October 23, 2023 </w:t>
        </w:r>
      </w:hyperlink>
      <w:hyperlink r:id="rId82">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88">
        <w:r>
          <w:rPr>
            <w:rFonts w:ascii="Times New Roman" w:cs="Times New Roman" w:eastAsia="Times New Roman" w:hAnsi="Times New Roman"/>
            <w:sz w:val="18"/>
            <w:szCs w:val="18"/>
            <w:u w:val="single" w:color="auto"/>
            <w:color w:val="0000EE"/>
          </w:rPr>
          <w:t xml:space="preserve">November 2, 2023 </w:t>
        </w:r>
      </w:hyperlink>
      <w:hyperlink r:id="rId82">
        <w:r>
          <w:rPr>
            <w:rFonts w:ascii="Times New Roman" w:cs="Times New Roman" w:eastAsia="Times New Roman" w:hAnsi="Times New Roman"/>
            <w:sz w:val="18"/>
            <w:szCs w:val="18"/>
            <w:color w:val="000000"/>
          </w:rPr>
          <w:t>(excluding</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information furnished pursuant to Item 7.01); and</w:t>
      </w:r>
    </w:p>
    <w:p>
      <w:pPr>
        <w:spacing w:after="0" w:line="88" w:lineRule="exact"/>
        <w:rPr>
          <w:rFonts w:ascii="Times New Roman" w:cs="Times New Roman" w:eastAsia="Times New Roman" w:hAnsi="Times New Roman"/>
          <w:sz w:val="18"/>
          <w:szCs w:val="18"/>
          <w:color w:val="0000EE"/>
        </w:rPr>
      </w:pPr>
    </w:p>
    <w:p>
      <w:pPr>
        <w:ind w:left="1080" w:right="40" w:hanging="424"/>
        <w:spacing w:after="0" w:line="258"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our Registration Statement on Form 8-A filed with the SEC on </w:t>
      </w:r>
      <w:hyperlink r:id="rId59">
        <w:r>
          <w:rPr>
            <w:rFonts w:ascii="Times New Roman" w:cs="Times New Roman" w:eastAsia="Times New Roman" w:hAnsi="Times New Roman"/>
            <w:sz w:val="18"/>
            <w:szCs w:val="18"/>
            <w:u w:val="single" w:color="auto"/>
            <w:color w:val="0000EE"/>
          </w:rPr>
          <w:t>August 10, 2020</w:t>
        </w:r>
      </w:hyperlink>
      <w:r>
        <w:rPr>
          <w:rFonts w:ascii="Times New Roman" w:cs="Times New Roman" w:eastAsia="Times New Roman" w:hAnsi="Times New Roman"/>
          <w:sz w:val="18"/>
          <w:szCs w:val="18"/>
          <w:color w:val="auto"/>
        </w:rPr>
        <w:t xml:space="preserve">, and as set forth by the description of the Registrant’s common stock set forth in </w:t>
      </w:r>
      <w:hyperlink r:id="rId60">
        <w:r>
          <w:rPr>
            <w:rFonts w:ascii="Times New Roman" w:cs="Times New Roman" w:eastAsia="Times New Roman" w:hAnsi="Times New Roman"/>
            <w:sz w:val="18"/>
            <w:szCs w:val="18"/>
            <w:u w:val="single" w:color="auto"/>
            <w:color w:val="0000EE"/>
          </w:rPr>
          <w:t>Exhibit 4.4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to the Registrant’s Annual Report on Form 10-K for the year ended December 31, 2021, filed with the SEC on </w:t>
      </w:r>
      <w:hyperlink r:id="rId71">
        <w:r>
          <w:rPr>
            <w:rFonts w:ascii="Times New Roman" w:cs="Times New Roman" w:eastAsia="Times New Roman" w:hAnsi="Times New Roman"/>
            <w:sz w:val="18"/>
            <w:szCs w:val="18"/>
            <w:u w:val="single" w:color="auto"/>
            <w:color w:val="0000EE"/>
          </w:rPr>
          <w:t>March 10, 2022</w:t>
        </w:r>
      </w:hyperlink>
      <w:r>
        <w:rPr>
          <w:rFonts w:ascii="Times New Roman" w:cs="Times New Roman" w:eastAsia="Times New Roman" w:hAnsi="Times New Roman"/>
          <w:sz w:val="18"/>
          <w:szCs w:val="18"/>
          <w:color w:val="auto"/>
        </w:rPr>
        <w:t xml:space="preserve">, and as further supplemented by the description of the Registrant’s common stock set forth in the Registrant’s Registration Statement on Form S-4/A, filed with the SEC on </w:t>
      </w:r>
      <w:hyperlink r:id="rId62">
        <w:r>
          <w:rPr>
            <w:rFonts w:ascii="Times New Roman" w:cs="Times New Roman" w:eastAsia="Times New Roman" w:hAnsi="Times New Roman"/>
            <w:sz w:val="18"/>
            <w:szCs w:val="18"/>
            <w:u w:val="single" w:color="auto"/>
            <w:color w:val="0000EE"/>
          </w:rPr>
          <w:t>December 1, 2022</w:t>
        </w:r>
      </w:hyperlink>
      <w:r>
        <w:rPr>
          <w:rFonts w:ascii="Times New Roman" w:cs="Times New Roman" w:eastAsia="Times New Roman" w:hAnsi="Times New Roman"/>
          <w:sz w:val="18"/>
          <w:szCs w:val="18"/>
          <w:color w:val="auto"/>
        </w:rPr>
        <w:t>, including any amendments or reports filed for the purpose of updating such description.</w:t>
      </w:r>
    </w:p>
    <w:p>
      <w:pPr>
        <w:spacing w:after="0" w:line="183" w:lineRule="exact"/>
        <w:rPr>
          <w:rFonts w:ascii="Times New Roman" w:cs="Times New Roman" w:eastAsia="Times New Roman" w:hAnsi="Times New Roman"/>
          <w:sz w:val="18"/>
          <w:szCs w:val="18"/>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All documents that we file (but not those that we furnish) pursuant to Section 13(a), 13(c), 14 or 15(d) of the Exchange Act, after the date of the initial registration statement of which this prospectus is a part and prior to the effectiveness of the registration statement shall be deemed to be incorporated by reference into this prospectus and will automatically update and supersede the information in this prospectus, and any previously filed documents. All documents that we file (but not those that we furnish) pursuant to Section 13(a), 13(c), 14 or 15(d) of the Exchange Act on or after the date of this prospectus and prior to the termination of the offering of any of the securities covered under this prospectus shall be deemed to be incorporated by reference into this prospectus and will automatically update and supersede the information in this prospectus, the applicable prospectus supplement and any previously filed documents.</w:t>
      </w:r>
    </w:p>
    <w:p>
      <w:pPr>
        <w:spacing w:after="0" w:line="189" w:lineRule="exact"/>
        <w:rPr>
          <w:rFonts w:ascii="Times New Roman" w:cs="Times New Roman" w:eastAsia="Times New Roman" w:hAnsi="Times New Roman"/>
          <w:sz w:val="18"/>
          <w:szCs w:val="18"/>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Any statement contained herein or in a document incorporated or deemed to be incorporated by reference in this prospectus or the applicable prospectus supplement shall be deemed to be modified or superseded for purposes of this prospectus and such applicable prospectus supplement to the extent that a statement contained in this prospectus or such applicable prospectus supplement, or in any other subsequently filed document which also is or is deemed to be incorporated by reference in this prospectus and such applicable prospectus supplement, modifies or supersedes such earlier statement. Any statement so modified or superseded shall not be deemed, except as so modified or superseded, to constitute a part of this prospectus or such applicable prospectus supplement.</w:t>
      </w:r>
    </w:p>
    <w:p>
      <w:pPr>
        <w:spacing w:after="0" w:line="187" w:lineRule="exact"/>
        <w:rPr>
          <w:rFonts w:ascii="Times New Roman" w:cs="Times New Roman" w:eastAsia="Times New Roman" w:hAnsi="Times New Roman"/>
          <w:sz w:val="18"/>
          <w:szCs w:val="18"/>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Documents incorporated by reference are available from us without charge, excluding all exhibits unless specifically incorporated by reference as an exhibit to this prospectus and the applicable prospectus supplement.</w:t>
      </w:r>
    </w:p>
    <w:p>
      <w:pPr>
        <w:spacing w:after="0" w:line="94"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00"/>
          </w:cols>
          <w:pgMar w:left="320" w:top="455" w:right="4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Prospective investors may obtain documents incorporated by reference in this prospectus and the applicable prospectus supplement at no cost by requesting them in writing or by telephone from us at our executive offices at:</w:t>
      </w:r>
    </w:p>
    <w:p>
      <w:pPr>
        <w:spacing w:after="0" w:line="162"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8"/>
          <w:szCs w:val="18"/>
          <w:color w:val="auto"/>
        </w:rPr>
        <w:t>Disc Medicine, Inc.</w:t>
      </w:r>
    </w:p>
    <w:p>
      <w:pPr>
        <w:spacing w:after="0" w:line="27"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8"/>
          <w:szCs w:val="18"/>
          <w:color w:val="auto"/>
        </w:rPr>
        <w:t>321 Arsenal Street, Suite 101</w:t>
      </w:r>
    </w:p>
    <w:p>
      <w:pPr>
        <w:spacing w:after="0" w:line="9"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8"/>
          <w:szCs w:val="18"/>
          <w:color w:val="auto"/>
        </w:rPr>
        <w:t>Watertown, MA 02472</w:t>
      </w:r>
    </w:p>
    <w:p>
      <w:pPr>
        <w:spacing w:after="0" w:line="9"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8"/>
          <w:szCs w:val="18"/>
          <w:color w:val="auto"/>
        </w:rPr>
        <w:t>Attention: Investor Relations</w:t>
      </w:r>
    </w:p>
    <w:p>
      <w:pPr>
        <w:spacing w:after="0" w:line="9" w:lineRule="exact"/>
        <w:rPr>
          <w:sz w:val="20"/>
          <w:szCs w:val="20"/>
          <w:color w:val="auto"/>
        </w:rPr>
      </w:pPr>
    </w:p>
    <w:p>
      <w:pPr>
        <w:ind w:left="5500" w:hanging="438"/>
        <w:spacing w:after="0"/>
        <w:tabs>
          <w:tab w:leader="none" w:pos="55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674-9274</w:t>
      </w:r>
    </w:p>
    <w:p>
      <w:pPr>
        <w:spacing w:after="0" w:line="139"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w:t>
      </w:r>
    </w:p>
    <w:p>
      <w:pPr>
        <w:sectPr>
          <w:pgSz w:w="11900" w:h="16838" w:orient="portrait"/>
          <w:cols w:equalWidth="0" w:num="1">
            <w:col w:w="10520"/>
          </w:cols>
          <w:pgMar w:left="320" w:top="455" w:right="10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This prospectus, together with any accompanying prospectus supplement, includes and incorporates by reference “forward-looking statements” within the meaning of the U.S. Private Securities Litigation Reform Act of 1995 and releases issued by the SEC and within the meaning of Section 27A of the Securities Act, and Section 21E of the Exchange Act. All statements other than statements of historical facts contained in this prospectus, including statements regarding our strategy, future operations, future financial position, future revenue, projected costs, prospects, plan, objectives of management and expected market growth, are forward-looking statements. You can identify these forward-looking statements by the use of words such as “aim,” “anticipate,” “assume,” “believe,” “contemplate,” “continue,” “could,” “design,” “due,” “estimate,” “expect,” “goal,” “intend,” “may,” “objective,” “plan,” “positioned,” “potential,” “predict,” “seek,” “should,” “target,” “will,” “would” and other similar expressions that are predictions of or indicate future events and future trends, or the negative of these terms or other comparable terminology. Such forward-looking statements are subject to various risks and uncertainties. Accordingly, there are or will be important factors that could cause actual outcomes or results to differ materially from those indicated in these statements. We believe these factors include, but are not limited to, those described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include, among other things:</w:t>
      </w:r>
    </w:p>
    <w:p>
      <w:pPr>
        <w:spacing w:after="0" w:line="97" w:lineRule="exact"/>
        <w:rPr>
          <w:sz w:val="20"/>
          <w:szCs w:val="20"/>
          <w:color w:val="auto"/>
        </w:rPr>
      </w:pPr>
    </w:p>
    <w:p>
      <w:pPr>
        <w:ind w:left="1080" w:right="140" w:hanging="424"/>
        <w:spacing w:after="0" w:line="266"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results, and cost of our research and development programs and our current and future preclinical studies and clinical trials, including statements regarding the timing of initiation and completion of studies or trials and related preparatory work, the period during which the results of the trials will become available, and our research and development programs;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efficiently discover and develop product candidates;</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the potential to successfully manufacture our drug substances and product candidates for preclinical use, for clinical trials and on a larger scale for commercial use, if approved;</w:t>
      </w:r>
    </w:p>
    <w:p>
      <w:pPr>
        <w:spacing w:after="0" w:line="67" w:lineRule="exact"/>
        <w:rPr>
          <w:rFonts w:ascii="Times New Roman" w:cs="Times New Roman" w:eastAsia="Times New Roman" w:hAnsi="Times New Roman"/>
          <w:sz w:val="18"/>
          <w:szCs w:val="18"/>
          <w:color w:val="auto"/>
        </w:rPr>
      </w:pPr>
    </w:p>
    <w:p>
      <w:pPr>
        <w:ind w:left="1080" w:right="76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operations necessary to complete further development and commercialization of our product candidates;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of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our products, if approved;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and reimbursement of our product candidates, if approved;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and strategic plans for our business and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covering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future expenses, revenues, capital requirements, and our needs for additional financing;</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strategic collaboration agreements, our ability to enter into strategic collaborations or arrangements, and our ability to attract collaborators with development, regulatory and commercialization expertise;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agreements with third parties in connection with the commercialization of product candidates and any other approved product;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potential of the markets for our product candidates, and our ability to serve those markets;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and foreign countries;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20"/>
          </w:cols>
          <w:pgMar w:left="320" w:top="455" w:right="4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contract with third-party suppliers and manufacturers and their ability to perform adequately;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produce our products or product candidates with advantages in turnaround times or manufacturing cost;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therapies that are or may become available;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scientific or management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laws and regulations;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9" w:lineRule="auto"/>
        <w:tabs>
          <w:tab w:leader="none" w:pos="108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global economic and political developments on our business, including rising inflation and capital market disruptions, the current conflict in Ukraine, economic sanctions and economic slowdowns or recessions that may result from such developments which could harm our research and development efforts as well as the value of our common stock and our ability to access capital markets; and</w:t>
      </w:r>
    </w:p>
    <w:p>
      <w:pPr>
        <w:spacing w:after="0" w:line="61" w:lineRule="exact"/>
        <w:rPr>
          <w:rFonts w:ascii="Times New Roman" w:cs="Times New Roman" w:eastAsia="Times New Roman" w:hAnsi="Times New Roman"/>
          <w:sz w:val="17"/>
          <w:szCs w:val="17"/>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listed under the caption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These statements relate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In evaluating such forward-looking statements, you should specifically consider various factors that may cause actual results to differ materially from current expectations, including the risks outlined under the heading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contained in this prospectus and any related prospectus supplement or free writing prospectus, and in any other documents incorporated herein or therein (including in our most recent annual report on Form 10-K, subsequent quarterly reports on Form 10-Q and other filings we make with the SEC pursuant to Section 13(a), 13(c), 14 or 15(d) of the Exchange Act). Any forward-looking statement in this prospectus or any related prospectus supplement or free writing prospectus reflects our current view with respect to future events and is subject to these and other risks, uncertainties and assumptions relating to our operations, results of operations, industry and future growth.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Market and Industry Data and Estimates</w:t>
      </w:r>
    </w:p>
    <w:p>
      <w:pPr>
        <w:spacing w:after="0" w:line="121"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This prospectus, together with any accompanying prospectus supplement and the information incorporated herein or therein by reference, also contains estimates, projections and other information concerning our industry, our business and the markets for our product candidates, including data regarding the estimated size of those markets, their projected growth rates and the incidence of certain medical conditions. Information that is based on estimates, forecasts, projections or similar methodologies is inherently subject to uncertainties and actual events or circumstances may differ materially from events and circumstances reflected in this information. Unless otherwise expressly stated, we obtained these industry, business, market and other data from reports, research surveys, studies and similar data prepared by third parties, industry, medical and general publications, government data and similar sources. We have not independently verified the accuracy and completeness of such data, and in some cases, we do not expressly refer to the sources from which these data are derived.</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121" w:lineRule="exact"/>
        <w:rPr>
          <w:sz w:val="20"/>
          <w:szCs w:val="20"/>
          <w:color w:val="auto"/>
        </w:rPr>
      </w:pPr>
    </w:p>
    <w:p>
      <w:pPr>
        <w:jc w:val="both"/>
        <w:ind w:left="120" w:right="240"/>
        <w:spacing w:after="0" w:line="266" w:lineRule="auto"/>
        <w:rPr>
          <w:sz w:val="20"/>
          <w:szCs w:val="20"/>
          <w:color w:val="auto"/>
        </w:rPr>
      </w:pPr>
      <w:r>
        <w:rPr>
          <w:rFonts w:ascii="Times New Roman" w:cs="Times New Roman" w:eastAsia="Times New Roman" w:hAnsi="Times New Roman"/>
          <w:sz w:val="18"/>
          <w:szCs w:val="18"/>
          <w:color w:val="auto"/>
        </w:rPr>
        <w:t>Disc Medicine, Inc., the Disc logo and our other registered or common law trademarks, trade names or service marks appearing in this prospectus are owned by us. This prospectus, any applicable prospectus supplement or any information incorporated herein or therein may contain references to our trademarks and to trademarks belonging to other entities. Solely for convenience, trademarks and trade names referred to in this prospectus,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20"/>
          </w:cols>
          <w:pgMar w:left="320" w:top="455"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33" w:lineRule="auto"/>
        <w:rPr>
          <w:sz w:val="20"/>
          <w:szCs w:val="20"/>
          <w:color w:val="auto"/>
        </w:rPr>
      </w:pPr>
      <w:r>
        <w:rPr>
          <w:rFonts w:ascii="Times New Roman" w:cs="Times New Roman" w:eastAsia="Times New Roman" w:hAnsi="Times New Roman"/>
          <w:sz w:val="18"/>
          <w:szCs w:val="18"/>
          <w:color w:val="auto"/>
        </w:rPr>
        <w:t xml:space="preserve">including logos, artwork and other visual displays, generally appear without the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or TM symbols, but such references are not intended to indicate, in any way, that we will not assert, to the fullest extent under applicable law, our rights or the rights of the applicable licensor to these trademarks and trade names. We do not intend our use or display of other companies’ trade names or trademarks to imply a relationship with, or endorsement or sponsorship of us by, any other companies. All trademarks, service marks and trade names included or incorporated by reference in this prospectus, any applicable prospectus supplement or any related free writing prospectus are the property of their respective owners.</w:t>
      </w:r>
    </w:p>
    <w:p>
      <w:pPr>
        <w:spacing w:after="0" w:line="13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00"/>
          </w:cols>
          <w:pgMar w:left="320" w:top="455" w:right="4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THE COMPANY</w:t>
      </w:r>
    </w:p>
    <w:p>
      <w:pPr>
        <w:spacing w:after="0" w:line="227" w:lineRule="exact"/>
        <w:rPr>
          <w:sz w:val="20"/>
          <w:szCs w:val="20"/>
          <w:color w:val="auto"/>
        </w:rPr>
      </w:pPr>
    </w:p>
    <w:p>
      <w:pPr>
        <w:ind w:left="120"/>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highlights information about the Registrant and our business contained elsewhere or incorporated by reference in this prospectus. It is not complete and does not contain all of the information that you should consider before investing in any of our securities. You should carefully read this prospectus together with the more detailed information incorporated by reference in this prospectus.</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We are a clinical-stage biopharmaceutical company focused on the discovery, development, and commercialization of novel treatments for patients suffering from serious hematologic diseases. We have assembled a portfolio of clinical and preclinical product candidates that aim to modify fundamental biological pathways associated with the formation and function of red blood cells, specifically heme biosynthesis and iron homeostasis. Our current pipeline includes, bitopertin for the treatment of erythropoietic porphyrias, or EPs, including erythropoietic protoporphyria, or EPP, and X-linked protoporphyria, or XLP, and Diamond-Blackfan Anemia, or DBA; DISC-0974 for the treatment of anemia of myelofibrosis, or MF, and anemia of chronic kidney disease, or CKD; and DISC-3405 (formerly known as MWTX-003) for the treatment of polycythemia vera, or PV, and other hematologic disorders. In addition, our preclinical programs also include DISC-0998, for the treatment of anemia associated with inflammatory diseases. Our approach to product candidate development leverages well-understood molecular mechanisms that have been validated in humans. We believe that each of our product candidates, if approved, has the potential to improve the lives of patients suffering from hematologic diseases.</w:t>
      </w:r>
    </w:p>
    <w:p>
      <w:pPr>
        <w:spacing w:after="0" w:line="188" w:lineRule="exact"/>
        <w:rPr>
          <w:sz w:val="20"/>
          <w:szCs w:val="20"/>
          <w:color w:val="auto"/>
        </w:rPr>
      </w:pPr>
    </w:p>
    <w:p>
      <w:pPr>
        <w:ind w:left="120" w:right="40"/>
        <w:spacing w:after="0" w:line="244" w:lineRule="auto"/>
        <w:rPr>
          <w:sz w:val="20"/>
          <w:szCs w:val="20"/>
          <w:color w:val="auto"/>
        </w:rPr>
      </w:pPr>
      <w:r>
        <w:rPr>
          <w:rFonts w:ascii="Times New Roman" w:cs="Times New Roman" w:eastAsia="Times New Roman" w:hAnsi="Times New Roman"/>
          <w:sz w:val="18"/>
          <w:szCs w:val="18"/>
          <w:color w:val="auto"/>
        </w:rPr>
        <w:t>Bitopertin is the lead product candidate in our heme biosynthesis modulation portfolio. Bitopertin was previously evaluated by F. Hoffmann-La Roche Ltd and Hoffmann-La Roche Inc., or collectively, Roche, in a comprehensive clinical program in over 4,000 individuals in other indications which demonstrated the activity of bitopertin as a glycine transporter 1, or GlyT1, inhibitor and its effect on heme biosynthesis. We are planning to initially develop bitopertin for the treatment of EPs, including EPP and XLP. In July 2022, we initiated BEACON, a Phase 2 open-label, parallel-dose clinical trial of bitopertin in EPP and XLP patients that is being conducted at sites in Australia. Separately, in July 2022, we received clearance of our Investigational New Drug application, or IND, from the U.S. Food and Drug Administration, or FDA, for, and in October 2022 we initiated, AURORA, a Phase 2, randomized, double-blind, placebo-controlled clinical trial of bitopertin in EPP patients that is being conducted at sites in the United States. We presented positive initial data from BEACON in June of 2023 at the European Hematology Association 2023 Congress, and BEACON data from all patients will be presented in December 2023 at the 65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American Society of Hematology Annual Meeting and Exposition, or ASH 2023, and we expect to present topline AURORA data in early 2024. We plan to request an end of Phase 2 meeting with the FDA in 2024. We entered into a collaborative research and development agreement with the National Institutes of Health, or NIH, to conduct an NIH-sponsored clinical trial of bitopertin in DBA. The FDA authorized the clinical trial to proceed and we announced on July 27, 2023 that the first patient was enrolled in this trial. We are planning additional trials of bitopertin in other indications.</w:t>
      </w:r>
    </w:p>
    <w:p>
      <w:pPr>
        <w:spacing w:after="0" w:line="195"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DISC-0974 is the lead product candidate in our iron homeostasis portfolio. DISC-0974 is designed to suppress hepcidin production and increase serum iron levels. We submitted an IND to the FDA for DISC-0974 in June 2021, received clearance in July 2021, and participants completed a Phase 1 clinical trial in healthy volunteers in the U.S. in June 2022 with results showing an acceptable tolerability profile and evidence of target engagement, iron mobilization and augmented erythropoiesis. We initiated a Phase 1b/2 clinical trial in June 2022 in patients with MF and anemia, or MF Trial, and initiated a separate Phase 1b/2 clinical trial in February 2023 in patients with non-dialysis dependent CKD and anemia, or CKD Trial. We plan to present initial data from the MF Trial at ASH 2023, and initial data from the 28 mg dose cohort of the patients of the CKD Trial in a management call in December 2023.</w:t>
      </w:r>
    </w:p>
    <w:p>
      <w:pPr>
        <w:spacing w:after="0" w:line="189"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In addition, we are developing a preclinical anti-hemojuvelin, or HJV, monoclonal antibody, DISC-0998, which also targets hepcidin suppression and was in-licensed from AbbVie Deutschland GmbH &amp; Co. KG. DISC-0998</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20"/>
          </w:cols>
          <w:pgMar w:left="320" w:top="455" w:right="4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is designed to increase serum iron levels and has an extended serum half-life as compared to DISC-0974. We believe this profile may be desirable in certain subsets of patients with anemia associated with inflammatory diseases.</w:t>
      </w:r>
    </w:p>
    <w:p>
      <w:pPr>
        <w:spacing w:after="0" w:line="162"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Lastly, we are developing DISC-3405, a monoclonal antibody against Transmembrane Serine Protease 6, or TMPRSS6, that we licensed from Mabwell Therapeutics, Inc., or Mabwell. DISC-3405 is part of our iron homeostasis portfolio and is designed to induce hepcidin production and reduce serum iron levels. An IND for DISC-3405 was cleared by the FDA and we initiated a Phase 1 clinical trial in healthy adult volunteers in October 2023. We were granted fast track designation by the FDA for DISC-3405 for the treatment of PV in September 2023. We expect to develop DISC-3405 for the treatment of PV and other hematologic disorders.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Merger with Gemini</w:t>
      </w:r>
    </w:p>
    <w:p>
      <w:pPr>
        <w:spacing w:after="0" w:line="121"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On August 9, 2022, Gemini Therapeutics, Inc., a Delaware corporation (“Gemini”), Gemstone Merger Sub, Inc., a Delaware corporation and a wholly owned subsidiary of Gemini (“Merger Sub”), and Disc Medicine, Inc., a Delaware corporation (“Private Disc”), entered into an Agreement and Plan of Merger and Reorganization (the “Merger Agreement”). The merger was completed on December 29, 2022. In accordance with the Merger Agreement, the Merger Sub merged with and into Private Disc, with Private Disc surviving as a wholly-owned subsidiary of the Company (the “merger”). Gemini changed its name to Disc Medicine Inc., and Private Disc, which remains as a wholly-owned subsidiary of the Company, changed its name to Disc Medicine Opco, Inc. On December 30, 2022, the combined company’s common stock began trading on The Nasdaq Capital Market under the ticker symbol “IRON.”</w:t>
      </w:r>
    </w:p>
    <w:p>
      <w:pPr>
        <w:spacing w:after="0" w:line="189" w:lineRule="exact"/>
        <w:rPr>
          <w:sz w:val="20"/>
          <w:szCs w:val="20"/>
          <w:color w:val="auto"/>
        </w:rPr>
      </w:pPr>
    </w:p>
    <w:p>
      <w:pPr>
        <w:jc w:val="both"/>
        <w:ind w:left="120" w:right="140"/>
        <w:spacing w:after="0" w:line="266" w:lineRule="auto"/>
        <w:rPr>
          <w:sz w:val="20"/>
          <w:szCs w:val="20"/>
          <w:color w:val="auto"/>
        </w:rPr>
      </w:pPr>
      <w:r>
        <w:rPr>
          <w:rFonts w:ascii="Times New Roman" w:cs="Times New Roman" w:eastAsia="Times New Roman" w:hAnsi="Times New Roman"/>
          <w:sz w:val="18"/>
          <w:szCs w:val="18"/>
          <w:color w:val="auto"/>
        </w:rPr>
        <w:t>Except as otherwise indicated, references herein to “Disc,” the “Company,” or the “combined company”, refer to Disc Medicine, Inc. on a post-merger basis, and the term “Private Disc” refers to the business of privately-held Disc Medicine, Inc., prior to completion of the merger. References to Gemini refer to Gemini Therapeutics, Inc. prior to completion of the merger.</w:t>
      </w:r>
    </w:p>
    <w:p>
      <w:pPr>
        <w:spacing w:after="0" w:line="176"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Pursuant to the terms of the Merger Agreement, at the effective time of the merger (the “Effective Time”), each person who as of immediately prior to the Effective Time was a stockholder of record of Gemini or had the right to receive Gemini’s common stock received a contractual contingent value right (“CVR”) issued by Gemini subject to and in accordance with the terms and conditions of a Contingent Value Rights Agreement between Gemini, the holder’s representative and the rights agent (the “CVR Agreement”), representing the contractual right to receive consideration from the post-closing combined company upon the receipt of certain proceeds from a disposition of Gemini’s pre-merger assets (specifically, Gemini’s intellectual property assets, which the Company assumed in the merger) during the period that is one year after the closing of the merger, calculated in accordance with the CVR Agreement. In accordance with the CVR Agreement, the holders of the CVRs would receive proceeds from any disposition of the Gemini pre-merger assets, net of costs incurred by the Company in performance of its obligations under the CVR Agreement in excess of $250,000, paid in the form of common stock in the Company calculated based on the amount equal to such proceeds divided by the volume weighted average stock price of the Company for the five trading days prior to the issuance of the payment to the holders of the CVRs. In the event that Gemini’s pre-merger assets are disposed in the one-year period after the closing of the merger, and the Company receives net proceeds from such disposition over time following the initial disposition of such assets, any such proceeds would be similarly distributed to the holders of the CVRs for a period continuing through the tenth anniversary of the closing date of the merger.</w:t>
      </w:r>
    </w:p>
    <w:p>
      <w:pPr>
        <w:spacing w:after="0" w:line="187" w:lineRule="exact"/>
        <w:rPr>
          <w:sz w:val="20"/>
          <w:szCs w:val="20"/>
          <w:color w:val="auto"/>
        </w:rPr>
      </w:pPr>
    </w:p>
    <w:p>
      <w:pPr>
        <w:ind w:left="120" w:right="260"/>
        <w:spacing w:after="0" w:line="266" w:lineRule="auto"/>
        <w:rPr>
          <w:sz w:val="20"/>
          <w:szCs w:val="20"/>
          <w:color w:val="auto"/>
        </w:rPr>
      </w:pPr>
      <w:r>
        <w:rPr>
          <w:rFonts w:ascii="Times New Roman" w:cs="Times New Roman" w:eastAsia="Times New Roman" w:hAnsi="Times New Roman"/>
          <w:sz w:val="18"/>
          <w:szCs w:val="18"/>
          <w:color w:val="auto"/>
        </w:rPr>
        <w:t>To satisfy its obligations with respect to the CVRs and the Gemini IP, the Company hired an outside firm to attempt to sell the Gemini IP, which firm previously was unsuccessful in finding a buyer for the Gemini IP. However, in June 2023, the Company received an offer for the Gemini IP and recorded a $1.5 million liability representing the estimated fair value of the Company’s obligation to the holders of the CVRs based on the offer.</w:t>
      </w:r>
    </w:p>
    <w:p>
      <w:pPr>
        <w:spacing w:after="0" w:line="176"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As of the date of this prospectus, a sale has not been consummated, no such proceeds have been received by the Company and no distributions have been made to the holders of the CVRs. In the event no net proceeds are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00"/>
          </w:cols>
          <w:pgMar w:left="320" w:top="455" w:right="4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received from a disposition of the Gemini pre-merger assets in the one-year period following closing of the merger, the Company’s obligations under the CVR Agreement will expire and the CVRs will be valueless.</w:t>
      </w:r>
    </w:p>
    <w:p>
      <w:pPr>
        <w:spacing w:after="0" w:line="162" w:lineRule="exact"/>
        <w:rPr>
          <w:sz w:val="20"/>
          <w:szCs w:val="20"/>
          <w:color w:val="auto"/>
        </w:rPr>
      </w:pPr>
    </w:p>
    <w:p>
      <w:pPr>
        <w:ind w:left="120" w:right="240"/>
        <w:spacing w:after="0" w:line="261" w:lineRule="auto"/>
        <w:rPr>
          <w:sz w:val="20"/>
          <w:szCs w:val="20"/>
          <w:color w:val="auto"/>
        </w:rPr>
      </w:pPr>
      <w:r>
        <w:rPr>
          <w:rFonts w:ascii="Times New Roman" w:cs="Times New Roman" w:eastAsia="Times New Roman" w:hAnsi="Times New Roman"/>
          <w:sz w:val="18"/>
          <w:szCs w:val="18"/>
          <w:color w:val="auto"/>
        </w:rPr>
        <w:t>Other than pursuant to the CVR Agreement, the Company has no additional obligations or plans with respect to Gemini’s pre-merger assets. The Company has generated no revenue from Gemini’s pre-merger assets and has incurred approximately $1.0 million in aggregate costs (including maintenance of license agreements, storage, legal and other fees) as of September 30, 2023, to maintain Gemini’s pre-merger assets solely in order to fulfill the Company’s obligations under the CVR Agreement.</w:t>
      </w:r>
    </w:p>
    <w:p>
      <w:pPr>
        <w:spacing w:after="0" w:line="180"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To illustrate the number of shares of the Company’s common stock that might be distributed under the CVR Agreement, assuming that a CVR payment were to be made on November 17, 2023, assuming (i) proceeds to the Company of $1.5 million, representing the estimated fair value of the Company’s obligation to holders of the CVRs as of September 30, 2023, and (ii) based on the volume weighted average stock price of the Company for the five trading days prior to November 17, 2023 of $50.37, an aggregate of 29,780 shares of the Company’s common stock would have been issued to holders of CVRs in such case.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Disc Medicine, Inc. was originally incorporated under the laws of the state of Delaware in October 2017, and changed its name to Disc Medicine Opco, Inc., or Disc Opco, in December 2022. On December 29, 2022, we completed our business combination with Gemini, in accordance with the terms of the Merger Agreement, pursuant to which, among other matters, Merger Sub merged with and into Disc Opco, with Disc Opco continuing as a wholly owned subsidiary of us and the surviving corporation of the merger, or the Merger. In connection with the closing of the Merger, Gemini changed its name to Disc Medicine, Inc.</w:t>
      </w:r>
    </w:p>
    <w:p>
      <w:pPr>
        <w:spacing w:after="0" w:line="183"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Our principal executive offices are located at 321 Arsenal Street, Suite 101, Watertown, MA 02472, and our telephone number is (617) 674-9274. Our website address is www.discmedicine.com. We do not incorporate the information on or accessible through our website into this prospectus, and you should not consider any information on, or that can be accessed through, our website as part of this prospectus. Our common stock is listed on Nasdaq under the symbol “IRON.”</w:t>
      </w:r>
    </w:p>
    <w:p>
      <w:pPr>
        <w:spacing w:after="0" w:line="180" w:lineRule="exact"/>
        <w:rPr>
          <w:sz w:val="20"/>
          <w:szCs w:val="20"/>
          <w:color w:val="auto"/>
        </w:rPr>
      </w:pPr>
    </w:p>
    <w:p>
      <w:pPr>
        <w:ind w:left="120" w:right="300"/>
        <w:spacing w:after="0" w:line="261" w:lineRule="auto"/>
        <w:rPr>
          <w:sz w:val="20"/>
          <w:szCs w:val="20"/>
          <w:color w:val="auto"/>
        </w:rPr>
      </w:pPr>
      <w:r>
        <w:rPr>
          <w:rFonts w:ascii="Times New Roman" w:cs="Times New Roman" w:eastAsia="Times New Roman" w:hAnsi="Times New Roman"/>
          <w:sz w:val="18"/>
          <w:szCs w:val="18"/>
          <w:color w:val="auto"/>
        </w:rPr>
        <w:t xml:space="preserve">Our Annual Report on Form 10-K, Quarterly Reports on Form 10-Q and Current Reports on Form 8-K and amendments to those reports filed or furnished pursuant to Section 13(a) or 15(d) of the Exchange Act are available, free of charge, on or through our website as soon as reasonably practicable after such reports and amendments are electronically filed with or furnished to the SEC. The SEC maintains an Internet site that contains reports, proxy and information statements and other information regarding our filings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For additional information about our Company, please refer to other documents we have filed with the SEC and that are incorporated by reference into this prospectus, as listed under the heading “</w:t>
      </w:r>
      <w:r>
        <w:rPr>
          <w:rFonts w:ascii="Times New Roman" w:cs="Times New Roman" w:eastAsia="Times New Roman" w:hAnsi="Times New Roman"/>
          <w:sz w:val="18"/>
          <w:szCs w:val="18"/>
          <w:i w:val="1"/>
          <w:iCs w:val="1"/>
          <w:color w:val="auto"/>
        </w:rPr>
        <w:t>Incorporation of Certain Information by Reference</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 and a Smaller Reporting Company</w:t>
      </w:r>
    </w:p>
    <w:p>
      <w:pPr>
        <w:spacing w:after="0" w:line="121" w:lineRule="exact"/>
        <w:rPr>
          <w:sz w:val="20"/>
          <w:szCs w:val="20"/>
          <w:color w:val="auto"/>
        </w:rPr>
      </w:pPr>
    </w:p>
    <w:p>
      <w:pPr>
        <w:jc w:val="both"/>
        <w:ind w:left="120" w:right="300"/>
        <w:spacing w:after="0" w:line="266" w:lineRule="auto"/>
        <w:rPr>
          <w:sz w:val="20"/>
          <w:szCs w:val="20"/>
          <w:color w:val="auto"/>
        </w:rPr>
      </w:pPr>
      <w:r>
        <w:rPr>
          <w:rFonts w:ascii="Times New Roman" w:cs="Times New Roman" w:eastAsia="Times New Roman" w:hAnsi="Times New Roman"/>
          <w:sz w:val="18"/>
          <w:szCs w:val="18"/>
          <w:color w:val="auto"/>
        </w:rPr>
        <w:t>We qualify as an “emerging growth company” as defined in the Jumpstart Our Business Startups Act of 2012, as amended (the “JOBS Act”). As an emerging growth company, we may take advantage of specified reduced disclosure and other requirements that are otherwise applicable generally to public companies. These provisions include:</w:t>
      </w:r>
    </w:p>
    <w:p>
      <w:pPr>
        <w:spacing w:after="0" w:line="203" w:lineRule="exact"/>
        <w:rPr>
          <w:sz w:val="20"/>
          <w:szCs w:val="20"/>
          <w:color w:val="auto"/>
        </w:rPr>
      </w:pPr>
    </w:p>
    <w:p>
      <w:pPr>
        <w:ind w:left="1080" w:right="400" w:hanging="424"/>
        <w:spacing w:after="0" w:line="266"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permitted to only disclose two years of audited financial statements in addition to any required unaudited interim financial statements with correspondingly reduced “Management’s Discussion and Analysis of Financial Condition and Results of Operations” disclosure;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00"/>
          </w:cols>
          <w:pgMar w:left="320" w:top="455" w:right="47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about our executive compensation arrangements;</w:t>
      </w:r>
    </w:p>
    <w:p>
      <w:pPr>
        <w:spacing w:after="0" w:line="252" w:lineRule="exact"/>
        <w:rPr>
          <w:rFonts w:ascii="Times New Roman" w:cs="Times New Roman" w:eastAsia="Times New Roman" w:hAnsi="Times New Roman"/>
          <w:sz w:val="18"/>
          <w:szCs w:val="18"/>
          <w:color w:val="auto"/>
        </w:rPr>
      </w:pPr>
    </w:p>
    <w:p>
      <w:pPr>
        <w:ind w:left="1080" w:right="86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hold advisory votes on executive compensation or to obtain stockholder approval of any golden parachute arrangements not previously approved; and</w:t>
      </w:r>
    </w:p>
    <w:p>
      <w:pPr>
        <w:spacing w:after="0" w:line="18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the auditor attestation requirement in the assessment of our internal control over financial reporting.</w:t>
      </w:r>
    </w:p>
    <w:p>
      <w:pPr>
        <w:spacing w:after="0" w:line="225"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We may take advantage of these exemptions until the end of the fiscal year following the fifth anniversary of our initial public offering or such earlier time that we are no longer an emerging growth company. We would cease to be an emerging growth company on the date that is the earliest of (i) the last day of the fiscal year in which we have total annual gross revenue of $1.235 billion or more; (ii) December 31, 2025; (iii) the date on which we have issued more than $1.0 billion in nonconvertible debt during the previous three years; or (iv) the last day of the fiscal year in which we are deemed to be a large accelerated filer under the rules of the SEC, which means the market value of our common stock that is held by non-affiliates exceeds $700 million as of the prior June 30th. We may choose to take advantage of some but not all of these exemptions. We have taken advantage of reduced reporting requirements in this prospectus supplement. Accordingly, the information contained herein may be different from the information you receive from other public companies in which you hold stock. Subject to certain conditions, as an emerging growth company, we may rely on certain of these exemptions, including without limitation, omitting an auditor’s attestation report on our system of internal controls over financial reporting otherwise required by Section 404(b) of the Sarbanes-Oxley Act of 2002.</w:t>
      </w:r>
    </w:p>
    <w:p>
      <w:pPr>
        <w:spacing w:after="0" w:line="194"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until the fiscal year following the determination that our common stock held by non-affiliates is more than $250 million measured on the last business day of our second fiscal quarter, or our annual revenues are less than $100 million during the most recently completed fiscal year and our common stock held by non-affiliates is more than $700 million measured on the last business day of our second fiscal quarter.</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55" w:right="4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Investing in our securities involves certain risks. Before you invest in any of our common stock, preferred stock, debt securities, warrants or units, in addition to the other information included in, or incorporated by reference into, this prospectus, you should carefully consider the risk factors contained in our (i) our most recent Annual Report on Form 10-K, which is on file with the SEC and is incorporated herein by reference, (ii) our most recent Quarterly Reports on Form 10-Q, which are on file with the SEC and are incorporated herein by reference, and (iii) other documents we file with the SEC that are deemed incorporated by reference into this prospectus. See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for information about how to obtain a copy of these documents. You should also carefully consider the risks and other information that may be contained in, or incorporated by reference into, any prospectus supplement relating to specific offerings of securities.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00"/>
          </w:cols>
          <w:pgMar w:left="320" w:top="455" w:right="4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SELECTED FINANCIAL DATA</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Reverse Stock Split</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On December 29, 2022, we effected a 1-for-10 reverse stock split of our common stock. The total number of authorized shares of capital stock was amended from 260,000,000 to 110,000,000. The par value per common share remained unchanged. The audited consolidated financial statements of Gemini Therapeutics, Inc. included in the Annual Report on Form 10-K for the year ended December 31, 2021, and the unaudited condensed consolidated financial statements included in our Quarterly Reports on Form 10-Q for the periods ended March 31, 2022, June 30, 2022, and September 30, 2022, that are incorporated by reference into this prospectus are presented without giving effect to the reverse stock split. Except where the context otherwise requires, share numbers in this prospectus reflect the 1-for-10 reverse stock split of our common stock.</w:t>
      </w:r>
    </w:p>
    <w:p>
      <w:pPr>
        <w:spacing w:after="0" w:line="187"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The following selected financial data has been derived from our audited consolidated financial statements included in our Annual Report on Form 10-K filed with the SEC on March 10, 2022, and our unaudited condensed consolidated financial statements included in our Quarterly Reports on Form 10-Q filed with the SEC on May 6, 2022, August 11, 2022, and November 10, 2022, as adjusted to reflect the reverse stock split for all periods presented. Our historical results are not indicative of the results that may be expected in the future and results of interim periods are not indicative of the results for the entire year. In addition, the below presented historical results do not present the pro forma impact of the reverse merger, as presented in the unaudited pro forma financial statements and accompanying notes for the nine months ended September 30, 2022, and the fiscal year ended December 31, 2021, contained in the Company’s Current Report on Form 8-K filed on December 29, 2022, and incorporated herein by reference.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AS REPORTED (in thousands, except per share amounts):</w:t>
      </w:r>
    </w:p>
    <w:p>
      <w:pPr>
        <w:spacing w:after="0" w:line="237"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00" w:type="dxa"/>
            <w:vAlign w:val="bottom"/>
            <w:gridSpan w:val="3"/>
          </w:tcPr>
          <w:p>
            <w:pPr>
              <w:jc w:val="center"/>
              <w:ind w:left="656"/>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820" w:type="dxa"/>
            <w:vAlign w:val="bottom"/>
            <w:vMerge w:val="restart"/>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160" w:type="dxa"/>
            <w:vAlign w:val="bottom"/>
            <w:tcBorders>
              <w:bottom w:val="single" w:sz="8" w:color="CCEEFF"/>
            </w:tcBorders>
          </w:tcPr>
          <w:p>
            <w:pPr>
              <w:spacing w:after="0"/>
              <w:rPr>
                <w:sz w:val="15"/>
                <w:szCs w:val="15"/>
                <w:color w:val="auto"/>
              </w:rPr>
            </w:pPr>
          </w:p>
        </w:tc>
        <w:tc>
          <w:tcPr>
            <w:tcW w:w="5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(71,869)</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668"/>
              <w:spacing w:after="0"/>
              <w:rPr>
                <w:sz w:val="20"/>
                <w:szCs w:val="20"/>
                <w:color w:val="auto"/>
              </w:rPr>
            </w:pPr>
            <w:r>
              <w:rPr>
                <w:rFonts w:ascii="Times New Roman" w:cs="Times New Roman" w:eastAsia="Times New Roman" w:hAnsi="Times New Roman"/>
                <w:sz w:val="18"/>
                <w:szCs w:val="18"/>
                <w:color w:val="auto"/>
              </w:rPr>
              <w:t>(1.78)</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28"/>
              <w:spacing w:after="0"/>
              <w:rPr>
                <w:sz w:val="20"/>
                <w:szCs w:val="20"/>
                <w:color w:val="auto"/>
              </w:rPr>
            </w:pPr>
            <w:r>
              <w:rPr>
                <w:rFonts w:ascii="Times New Roman" w:cs="Times New Roman" w:eastAsia="Times New Roman" w:hAnsi="Times New Roman"/>
                <w:sz w:val="18"/>
                <w:szCs w:val="18"/>
                <w:color w:val="auto"/>
                <w:w w:val="98"/>
              </w:rPr>
              <w:t>40,362,303</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15,115,129</w:t>
            </w:r>
          </w:p>
        </w:tc>
        <w:tc>
          <w:tcPr>
            <w:tcW w:w="0" w:type="dxa"/>
            <w:vAlign w:val="bottom"/>
          </w:tcPr>
          <w:p>
            <w:pPr>
              <w:spacing w:after="0"/>
              <w:rPr>
                <w:sz w:val="1"/>
                <w:szCs w:val="1"/>
                <w:color w:val="auto"/>
              </w:rPr>
            </w:pPr>
          </w:p>
        </w:tc>
      </w:tr>
      <w:tr>
        <w:trPr>
          <w:trHeight w:val="234"/>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Common shares outstanding at year end</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gridSpan w:val="2"/>
          </w:tcPr>
          <w:p>
            <w:pPr>
              <w:jc w:val="right"/>
              <w:ind w:right="728"/>
              <w:spacing w:after="0"/>
              <w:rPr>
                <w:sz w:val="20"/>
                <w:szCs w:val="20"/>
                <w:color w:val="auto"/>
              </w:rPr>
            </w:pPr>
            <w:r>
              <w:rPr>
                <w:rFonts w:ascii="Times New Roman" w:cs="Times New Roman" w:eastAsia="Times New Roman" w:hAnsi="Times New Roman"/>
                <w:sz w:val="18"/>
                <w:szCs w:val="18"/>
                <w:color w:val="auto"/>
                <w:w w:val="98"/>
              </w:rPr>
              <w:t>43,208,159</w:t>
            </w:r>
          </w:p>
        </w:tc>
        <w:tc>
          <w:tcPr>
            <w:tcW w:w="8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8"/>
              </w:rPr>
              <w:t>15,565,380</w:t>
            </w:r>
          </w:p>
        </w:tc>
        <w:tc>
          <w:tcPr>
            <w:tcW w:w="0" w:type="dxa"/>
            <w:vAlign w:val="bottom"/>
          </w:tcPr>
          <w:p>
            <w:pPr>
              <w:spacing w:after="0"/>
              <w:rPr>
                <w:sz w:val="1"/>
                <w:szCs w:val="1"/>
                <w:color w:val="auto"/>
              </w:rPr>
            </w:pPr>
          </w:p>
        </w:tc>
      </w:tr>
      <w:tr>
        <w:trPr>
          <w:trHeight w:val="321"/>
        </w:trPr>
        <w:tc>
          <w:tcPr>
            <w:tcW w:w="5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20" w:type="dxa"/>
            <w:vAlign w:val="bottom"/>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0"/>
        </w:trPr>
        <w:tc>
          <w:tcPr>
            <w:tcW w:w="5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restart"/>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0" w:type="dxa"/>
            <w:vAlign w:val="bottom"/>
          </w:tcPr>
          <w:p>
            <w:pPr>
              <w:spacing w:after="0"/>
              <w:rPr>
                <w:sz w:val="16"/>
                <w:szCs w:val="16"/>
                <w:color w:val="auto"/>
              </w:rPr>
            </w:pPr>
          </w:p>
        </w:tc>
        <w:tc>
          <w:tcPr>
            <w:tcW w:w="820" w:type="dxa"/>
            <w:vAlign w:val="bottom"/>
            <w:vMerge w:val="restart"/>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5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vMerge w:val="continue"/>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668"/>
              <w:spacing w:after="0"/>
              <w:rPr>
                <w:sz w:val="20"/>
                <w:szCs w:val="20"/>
                <w:color w:val="auto"/>
              </w:rPr>
            </w:pPr>
            <w:r>
              <w:rPr>
                <w:rFonts w:ascii="Times New Roman" w:cs="Times New Roman" w:eastAsia="Times New Roman" w:hAnsi="Times New Roman"/>
                <w:sz w:val="18"/>
                <w:szCs w:val="18"/>
                <w:color w:val="auto"/>
              </w:rPr>
              <w:t>(15,231)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(19,048)</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668"/>
              <w:spacing w:after="0"/>
              <w:rPr>
                <w:sz w:val="20"/>
                <w:szCs w:val="20"/>
                <w:color w:val="auto"/>
              </w:rPr>
            </w:pPr>
            <w:r>
              <w:rPr>
                <w:rFonts w:ascii="Times New Roman" w:cs="Times New Roman" w:eastAsia="Times New Roman" w:hAnsi="Times New Roman"/>
                <w:sz w:val="18"/>
                <w:szCs w:val="18"/>
                <w:color w:val="auto"/>
              </w:rPr>
              <w:t>(0.35)</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(0.59)</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28"/>
              <w:spacing w:after="0"/>
              <w:rPr>
                <w:sz w:val="20"/>
                <w:szCs w:val="20"/>
                <w:color w:val="auto"/>
              </w:rPr>
            </w:pPr>
            <w:r>
              <w:rPr>
                <w:rFonts w:ascii="Times New Roman" w:cs="Times New Roman" w:eastAsia="Times New Roman" w:hAnsi="Times New Roman"/>
                <w:sz w:val="18"/>
                <w:szCs w:val="18"/>
                <w:color w:val="auto"/>
                <w:w w:val="98"/>
              </w:rPr>
              <w:t>43,212,803</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32,027,161</w:t>
            </w:r>
          </w:p>
        </w:tc>
        <w:tc>
          <w:tcPr>
            <w:tcW w:w="0" w:type="dxa"/>
            <w:vAlign w:val="bottom"/>
          </w:tcPr>
          <w:p>
            <w:pPr>
              <w:spacing w:after="0"/>
              <w:rPr>
                <w:sz w:val="1"/>
                <w:szCs w:val="1"/>
                <w:color w:val="auto"/>
              </w:rPr>
            </w:pPr>
          </w:p>
        </w:tc>
      </w:tr>
      <w:tr>
        <w:trPr>
          <w:trHeight w:val="234"/>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Common shares outstanding at period end</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gridSpan w:val="2"/>
          </w:tcPr>
          <w:p>
            <w:pPr>
              <w:jc w:val="right"/>
              <w:ind w:right="728"/>
              <w:spacing w:after="0"/>
              <w:rPr>
                <w:sz w:val="20"/>
                <w:szCs w:val="20"/>
                <w:color w:val="auto"/>
              </w:rPr>
            </w:pPr>
            <w:r>
              <w:rPr>
                <w:rFonts w:ascii="Times New Roman" w:cs="Times New Roman" w:eastAsia="Times New Roman" w:hAnsi="Times New Roman"/>
                <w:sz w:val="18"/>
                <w:szCs w:val="18"/>
                <w:color w:val="auto"/>
                <w:w w:val="98"/>
              </w:rPr>
              <w:t>43,227,159</w:t>
            </w:r>
          </w:p>
        </w:tc>
        <w:tc>
          <w:tcPr>
            <w:tcW w:w="8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8"/>
              </w:rPr>
              <w:t>43,002,144</w:t>
            </w:r>
          </w:p>
        </w:tc>
        <w:tc>
          <w:tcPr>
            <w:tcW w:w="0" w:type="dxa"/>
            <w:vAlign w:val="bottom"/>
          </w:tcPr>
          <w:p>
            <w:pPr>
              <w:spacing w:after="0"/>
              <w:rPr>
                <w:sz w:val="1"/>
                <w:szCs w:val="1"/>
                <w:color w:val="auto"/>
              </w:rPr>
            </w:pPr>
          </w:p>
        </w:tc>
      </w:tr>
      <w:tr>
        <w:trPr>
          <w:trHeight w:val="321"/>
        </w:trPr>
        <w:tc>
          <w:tcPr>
            <w:tcW w:w="5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20" w:type="dxa"/>
            <w:vAlign w:val="bottom"/>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0"/>
        </w:trPr>
        <w:tc>
          <w:tcPr>
            <w:tcW w:w="5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restart"/>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 w:type="dxa"/>
            <w:vAlign w:val="bottom"/>
          </w:tcPr>
          <w:p>
            <w:pPr>
              <w:spacing w:after="0"/>
              <w:rPr>
                <w:sz w:val="16"/>
                <w:szCs w:val="16"/>
                <w:color w:val="auto"/>
              </w:rPr>
            </w:pPr>
          </w:p>
        </w:tc>
        <w:tc>
          <w:tcPr>
            <w:tcW w:w="820" w:type="dxa"/>
            <w:vAlign w:val="bottom"/>
            <w:vMerge w:val="restart"/>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5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vMerge w:val="continue"/>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668"/>
              <w:spacing w:after="0"/>
              <w:rPr>
                <w:sz w:val="20"/>
                <w:szCs w:val="20"/>
                <w:color w:val="auto"/>
              </w:rPr>
            </w:pPr>
            <w:r>
              <w:rPr>
                <w:rFonts w:ascii="Times New Roman" w:cs="Times New Roman" w:eastAsia="Times New Roman" w:hAnsi="Times New Roman"/>
                <w:sz w:val="18"/>
                <w:szCs w:val="18"/>
                <w:color w:val="auto"/>
              </w:rPr>
              <w:t>(7,090)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(16,447)</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668"/>
              <w:spacing w:after="0"/>
              <w:rPr>
                <w:sz w:val="20"/>
                <w:szCs w:val="20"/>
                <w:color w:val="auto"/>
              </w:rPr>
            </w:pPr>
            <w:r>
              <w:rPr>
                <w:rFonts w:ascii="Times New Roman" w:cs="Times New Roman" w:eastAsia="Times New Roman" w:hAnsi="Times New Roman"/>
                <w:sz w:val="18"/>
                <w:szCs w:val="18"/>
                <w:color w:val="auto"/>
              </w:rPr>
              <w:t>(0.16)</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(0.38)</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28"/>
              <w:spacing w:after="0"/>
              <w:rPr>
                <w:sz w:val="20"/>
                <w:szCs w:val="20"/>
                <w:color w:val="auto"/>
              </w:rPr>
            </w:pPr>
            <w:r>
              <w:rPr>
                <w:rFonts w:ascii="Times New Roman" w:cs="Times New Roman" w:eastAsia="Times New Roman" w:hAnsi="Times New Roman"/>
                <w:sz w:val="18"/>
                <w:szCs w:val="18"/>
                <w:color w:val="auto"/>
                <w:w w:val="98"/>
              </w:rPr>
              <w:t>43,230,523</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43,041,856</w:t>
            </w:r>
          </w:p>
        </w:tc>
        <w:tc>
          <w:tcPr>
            <w:tcW w:w="0" w:type="dxa"/>
            <w:vAlign w:val="bottom"/>
          </w:tcPr>
          <w:p>
            <w:pPr>
              <w:spacing w:after="0"/>
              <w:rPr>
                <w:sz w:val="1"/>
                <w:szCs w:val="1"/>
                <w:color w:val="auto"/>
              </w:rPr>
            </w:pPr>
          </w:p>
        </w:tc>
      </w:tr>
      <w:tr>
        <w:trPr>
          <w:trHeight w:val="234"/>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Common shares outstanding at period end</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gridSpan w:val="2"/>
          </w:tcPr>
          <w:p>
            <w:pPr>
              <w:jc w:val="right"/>
              <w:ind w:right="728"/>
              <w:spacing w:after="0"/>
              <w:rPr>
                <w:sz w:val="20"/>
                <w:szCs w:val="20"/>
                <w:color w:val="auto"/>
              </w:rPr>
            </w:pPr>
            <w:r>
              <w:rPr>
                <w:rFonts w:ascii="Times New Roman" w:cs="Times New Roman" w:eastAsia="Times New Roman" w:hAnsi="Times New Roman"/>
                <w:sz w:val="18"/>
                <w:szCs w:val="18"/>
                <w:color w:val="auto"/>
                <w:w w:val="98"/>
              </w:rPr>
              <w:t>43,244,453</w:t>
            </w:r>
          </w:p>
        </w:tc>
        <w:tc>
          <w:tcPr>
            <w:tcW w:w="8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8"/>
              </w:rPr>
              <w:t>43,055,112</w:t>
            </w:r>
          </w:p>
        </w:tc>
        <w:tc>
          <w:tcPr>
            <w:tcW w:w="0" w:type="dxa"/>
            <w:vAlign w:val="bottom"/>
          </w:tcPr>
          <w:p>
            <w:pPr>
              <w:spacing w:after="0"/>
              <w:rPr>
                <w:sz w:val="1"/>
                <w:szCs w:val="1"/>
                <w:color w:val="auto"/>
              </w:rPr>
            </w:pPr>
          </w:p>
        </w:tc>
      </w:tr>
      <w:tr>
        <w:trPr>
          <w:trHeight w:val="346"/>
        </w:trPr>
        <w:tc>
          <w:tcPr>
            <w:tcW w:w="5160" w:type="dxa"/>
            <w:vAlign w:val="bottom"/>
          </w:tcPr>
          <w:p>
            <w:pPr>
              <w:ind w:left="4100"/>
              <w:spacing w:after="0"/>
              <w:rPr>
                <w:sz w:val="20"/>
                <w:szCs w:val="20"/>
                <w:color w:val="auto"/>
              </w:rPr>
            </w:pPr>
            <w:r>
              <w:rPr>
                <w:rFonts w:ascii="Times New Roman" w:cs="Times New Roman" w:eastAsia="Times New Roman" w:hAnsi="Times New Roman"/>
                <w:sz w:val="18"/>
                <w:szCs w:val="18"/>
                <w:color w:val="auto"/>
              </w:rPr>
              <w:t>12</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5" w:right="4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Net loss and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-119380</wp:posOffset>
            </wp:positionV>
            <wp:extent cx="5314950"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00">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spacing w:after="0" w:line="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Net loss per share,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5715</wp:posOffset>
            </wp:positionV>
            <wp:extent cx="5314950"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01">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ind w:left="1440" w:right="280"/>
        <w:spacing w:after="0" w:line="260" w:lineRule="auto"/>
        <w:rPr>
          <w:sz w:val="20"/>
          <w:szCs w:val="20"/>
          <w:color w:val="auto"/>
        </w:rPr>
      </w:pPr>
      <w:r>
        <w:rPr>
          <w:rFonts w:ascii="Times New Roman" w:cs="Times New Roman" w:eastAsia="Times New Roman" w:hAnsi="Times New Roman"/>
          <w:sz w:val="18"/>
          <w:szCs w:val="18"/>
          <w:color w:val="auto"/>
        </w:rPr>
        <w:t>Weighted average common shares outstanding, basic and diluted Common shares outstanding at period end</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Net loss and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-119380</wp:posOffset>
            </wp:positionV>
            <wp:extent cx="5314950"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2">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spacing w:after="0" w:line="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Net loss per share,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5715</wp:posOffset>
            </wp:positionV>
            <wp:extent cx="5314950"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3">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ind w:left="1440" w:right="280"/>
        <w:spacing w:after="0" w:line="260" w:lineRule="auto"/>
        <w:rPr>
          <w:sz w:val="20"/>
          <w:szCs w:val="20"/>
          <w:color w:val="auto"/>
        </w:rPr>
      </w:pPr>
      <w:r>
        <w:rPr>
          <w:rFonts w:ascii="Times New Roman" w:cs="Times New Roman" w:eastAsia="Times New Roman" w:hAnsi="Times New Roman"/>
          <w:sz w:val="18"/>
          <w:szCs w:val="18"/>
          <w:color w:val="auto"/>
        </w:rPr>
        <w:t>Weighted average common shares outstanding, basic and diluted Common shares outstanding at period end</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Net loss and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-119380</wp:posOffset>
            </wp:positionV>
            <wp:extent cx="5314950"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4">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spacing w:after="0" w:line="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Net loss per share,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5715</wp:posOffset>
            </wp:positionV>
            <wp:extent cx="5314950"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5">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ind w:left="1440" w:right="280"/>
        <w:spacing w:after="0" w:line="260" w:lineRule="auto"/>
        <w:rPr>
          <w:sz w:val="20"/>
          <w:szCs w:val="20"/>
          <w:color w:val="auto"/>
        </w:rPr>
      </w:pPr>
      <w:r>
        <w:rPr>
          <w:rFonts w:ascii="Times New Roman" w:cs="Times New Roman" w:eastAsia="Times New Roman" w:hAnsi="Times New Roman"/>
          <w:sz w:val="18"/>
          <w:szCs w:val="18"/>
          <w:color w:val="auto"/>
        </w:rPr>
        <w:t>Weighted average common shares outstanding, basic and diluted Common shares outstanding at period end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3"/>
                <w:szCs w:val="13"/>
                <w:color w:val="auto"/>
              </w:rPr>
            </w:pPr>
          </w:p>
        </w:tc>
        <w:tc>
          <w:tcPr>
            <w:tcW w:w="258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1600" w:type="dxa"/>
            <w:vAlign w:val="bottom"/>
          </w:tcPr>
          <w:p>
            <w:pPr>
              <w:jc w:val="center"/>
              <w:ind w:left="759"/>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Pr>
          <w:p>
            <w:pPr>
              <w:spacing w:after="0"/>
              <w:rPr>
                <w:sz w:val="12"/>
                <w:szCs w:val="12"/>
                <w:color w:val="auto"/>
              </w:rPr>
            </w:pPr>
          </w:p>
        </w:tc>
        <w:tc>
          <w:tcPr>
            <w:tcW w:w="820" w:type="dxa"/>
            <w:vAlign w:val="bottom"/>
            <w:vMerge w:val="restart"/>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9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80" w:type="dxa"/>
            <w:vAlign w:val="bottom"/>
          </w:tcPr>
          <w:p>
            <w:pPr>
              <w:spacing w:after="0"/>
              <w:rPr>
                <w:sz w:val="10"/>
                <w:szCs w:val="10"/>
                <w:color w:val="auto"/>
              </w:rPr>
            </w:pPr>
          </w:p>
        </w:tc>
        <w:tc>
          <w:tcPr>
            <w:tcW w:w="1600" w:type="dxa"/>
            <w:vAlign w:val="bottom"/>
          </w:tcPr>
          <w:p>
            <w:pPr>
              <w:jc w:val="center"/>
              <w:ind w:left="759"/>
              <w:spacing w:after="0" w:line="124"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Pr>
          <w:p>
            <w:pPr>
              <w:jc w:val="right"/>
              <w:ind w:right="639"/>
              <w:spacing w:after="0"/>
              <w:rPr>
                <w:sz w:val="20"/>
                <w:szCs w:val="20"/>
                <w:color w:val="auto"/>
              </w:rPr>
            </w:pPr>
            <w:r>
              <w:rPr>
                <w:rFonts w:ascii="Times New Roman" w:cs="Times New Roman" w:eastAsia="Times New Roman" w:hAnsi="Times New Roman"/>
                <w:sz w:val="18"/>
                <w:szCs w:val="18"/>
                <w:color w:val="auto"/>
              </w:rPr>
              <w:t>(22,321)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(35,495)</w:t>
            </w:r>
          </w:p>
        </w:tc>
        <w:tc>
          <w:tcPr>
            <w:tcW w:w="0" w:type="dxa"/>
            <w:vAlign w:val="bottom"/>
          </w:tcPr>
          <w:p>
            <w:pPr>
              <w:spacing w:after="0"/>
              <w:rPr>
                <w:sz w:val="1"/>
                <w:szCs w:val="1"/>
                <w:color w:val="auto"/>
              </w:rPr>
            </w:pPr>
          </w:p>
        </w:tc>
      </w:tr>
      <w:tr>
        <w:trPr>
          <w:trHeight w:val="216"/>
        </w:trPr>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Pr>
          <w:p>
            <w:pPr>
              <w:jc w:val="right"/>
              <w:ind w:right="639"/>
              <w:spacing w:after="0"/>
              <w:rPr>
                <w:sz w:val="20"/>
                <w:szCs w:val="20"/>
                <w:color w:val="auto"/>
              </w:rPr>
            </w:pPr>
            <w:r>
              <w:rPr>
                <w:rFonts w:ascii="Times New Roman" w:cs="Times New Roman" w:eastAsia="Times New Roman" w:hAnsi="Times New Roman"/>
                <w:sz w:val="18"/>
                <w:szCs w:val="18"/>
                <w:color w:val="auto"/>
              </w:rPr>
              <w:t>(0.52)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600" w:type="dxa"/>
            <w:vAlign w:val="bottom"/>
          </w:tcPr>
          <w:p>
            <w:pPr>
              <w:jc w:val="right"/>
              <w:ind w:right="699"/>
              <w:spacing w:after="0"/>
              <w:rPr>
                <w:sz w:val="20"/>
                <w:szCs w:val="20"/>
                <w:color w:val="auto"/>
              </w:rPr>
            </w:pPr>
            <w:r>
              <w:rPr>
                <w:rFonts w:ascii="Times New Roman" w:cs="Times New Roman" w:eastAsia="Times New Roman" w:hAnsi="Times New Roman"/>
                <w:sz w:val="18"/>
                <w:szCs w:val="18"/>
                <w:color w:val="auto"/>
                <w:w w:val="98"/>
              </w:rPr>
              <w:t>43,221,712</w:t>
            </w: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8"/>
              </w:rPr>
              <w:t>37,564,936</w:t>
            </w: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1600" w:type="dxa"/>
            <w:vAlign w:val="bottom"/>
          </w:tcPr>
          <w:p>
            <w:pPr>
              <w:jc w:val="right"/>
              <w:ind w:right="699"/>
              <w:spacing w:after="0"/>
              <w:rPr>
                <w:sz w:val="20"/>
                <w:szCs w:val="20"/>
                <w:color w:val="auto"/>
              </w:rPr>
            </w:pPr>
            <w:r>
              <w:rPr>
                <w:rFonts w:ascii="Times New Roman" w:cs="Times New Roman" w:eastAsia="Times New Roman" w:hAnsi="Times New Roman"/>
                <w:sz w:val="18"/>
                <w:szCs w:val="18"/>
                <w:color w:val="auto"/>
                <w:w w:val="98"/>
              </w:rPr>
              <w:t>43,244,453</w:t>
            </w:r>
          </w:p>
        </w:tc>
        <w:tc>
          <w:tcPr>
            <w:tcW w:w="10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8"/>
              </w:rPr>
              <w:t>43,055,112</w:t>
            </w:r>
          </w:p>
        </w:tc>
        <w:tc>
          <w:tcPr>
            <w:tcW w:w="0" w:type="dxa"/>
            <w:vAlign w:val="bottom"/>
          </w:tcPr>
          <w:p>
            <w:pPr>
              <w:spacing w:after="0"/>
              <w:rPr>
                <w:sz w:val="1"/>
                <w:szCs w:val="1"/>
                <w:color w:val="auto"/>
              </w:rPr>
            </w:pPr>
          </w:p>
        </w:tc>
      </w:tr>
      <w:tr>
        <w:trPr>
          <w:trHeight w:val="340"/>
        </w:trPr>
        <w:tc>
          <w:tcPr>
            <w:tcW w:w="80" w:type="dxa"/>
            <w:vAlign w:val="bottom"/>
          </w:tcPr>
          <w:p>
            <w:pPr>
              <w:spacing w:after="0"/>
              <w:rPr>
                <w:sz w:val="24"/>
                <w:szCs w:val="24"/>
                <w:color w:val="auto"/>
              </w:rPr>
            </w:pPr>
          </w:p>
        </w:tc>
        <w:tc>
          <w:tcPr>
            <w:tcW w:w="258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1700" w:type="dxa"/>
            <w:vAlign w:val="bottom"/>
            <w:gridSpan w:val="2"/>
          </w:tcPr>
          <w:p>
            <w:pPr>
              <w:jc w:val="center"/>
              <w:ind w:left="659"/>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vMerge w:val="restart"/>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9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80" w:type="dxa"/>
            <w:vAlign w:val="bottom"/>
          </w:tcPr>
          <w:p>
            <w:pPr>
              <w:spacing w:after="0"/>
              <w:rPr>
                <w:sz w:val="10"/>
                <w:szCs w:val="10"/>
                <w:color w:val="auto"/>
              </w:rPr>
            </w:pPr>
          </w:p>
        </w:tc>
        <w:tc>
          <w:tcPr>
            <w:tcW w:w="1600" w:type="dxa"/>
            <w:vAlign w:val="bottom"/>
          </w:tcPr>
          <w:p>
            <w:pPr>
              <w:jc w:val="center"/>
              <w:ind w:left="759"/>
              <w:spacing w:after="0" w:line="124"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Pr>
          <w:p>
            <w:pPr>
              <w:jc w:val="right"/>
              <w:ind w:right="639"/>
              <w:spacing w:after="0"/>
              <w:rPr>
                <w:sz w:val="20"/>
                <w:szCs w:val="20"/>
                <w:color w:val="auto"/>
              </w:rPr>
            </w:pPr>
            <w:r>
              <w:rPr>
                <w:rFonts w:ascii="Times New Roman" w:cs="Times New Roman" w:eastAsia="Times New Roman" w:hAnsi="Times New Roman"/>
                <w:sz w:val="18"/>
                <w:szCs w:val="18"/>
                <w:color w:val="auto"/>
              </w:rPr>
              <w:t>(3,277)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(18,551)</w:t>
            </w:r>
          </w:p>
        </w:tc>
        <w:tc>
          <w:tcPr>
            <w:tcW w:w="0" w:type="dxa"/>
            <w:vAlign w:val="bottom"/>
          </w:tcPr>
          <w:p>
            <w:pPr>
              <w:spacing w:after="0"/>
              <w:rPr>
                <w:sz w:val="1"/>
                <w:szCs w:val="1"/>
                <w:color w:val="auto"/>
              </w:rPr>
            </w:pPr>
          </w:p>
        </w:tc>
      </w:tr>
      <w:tr>
        <w:trPr>
          <w:trHeight w:val="216"/>
        </w:trPr>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Pr>
          <w:p>
            <w:pPr>
              <w:jc w:val="right"/>
              <w:ind w:right="639"/>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600" w:type="dxa"/>
            <w:vAlign w:val="bottom"/>
          </w:tcPr>
          <w:p>
            <w:pPr>
              <w:jc w:val="right"/>
              <w:ind w:right="699"/>
              <w:spacing w:after="0"/>
              <w:rPr>
                <w:sz w:val="20"/>
                <w:szCs w:val="20"/>
                <w:color w:val="auto"/>
              </w:rPr>
            </w:pPr>
            <w:r>
              <w:rPr>
                <w:rFonts w:ascii="Times New Roman" w:cs="Times New Roman" w:eastAsia="Times New Roman" w:hAnsi="Times New Roman"/>
                <w:sz w:val="18"/>
                <w:szCs w:val="18"/>
                <w:color w:val="auto"/>
                <w:w w:val="98"/>
              </w:rPr>
              <w:t>43,264,616</w:t>
            </w: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8"/>
              </w:rPr>
              <w:t>43,091,822</w:t>
            </w: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1600" w:type="dxa"/>
            <w:vAlign w:val="bottom"/>
          </w:tcPr>
          <w:p>
            <w:pPr>
              <w:jc w:val="right"/>
              <w:ind w:right="699"/>
              <w:spacing w:after="0"/>
              <w:rPr>
                <w:sz w:val="20"/>
                <w:szCs w:val="20"/>
                <w:color w:val="auto"/>
              </w:rPr>
            </w:pPr>
            <w:r>
              <w:rPr>
                <w:rFonts w:ascii="Times New Roman" w:cs="Times New Roman" w:eastAsia="Times New Roman" w:hAnsi="Times New Roman"/>
                <w:sz w:val="18"/>
                <w:szCs w:val="18"/>
                <w:color w:val="auto"/>
                <w:w w:val="98"/>
              </w:rPr>
              <w:t>43,299,453</w:t>
            </w:r>
          </w:p>
        </w:tc>
        <w:tc>
          <w:tcPr>
            <w:tcW w:w="10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8"/>
              </w:rPr>
              <w:t>43,112,742</w:t>
            </w:r>
          </w:p>
        </w:tc>
        <w:tc>
          <w:tcPr>
            <w:tcW w:w="0" w:type="dxa"/>
            <w:vAlign w:val="bottom"/>
          </w:tcPr>
          <w:p>
            <w:pPr>
              <w:spacing w:after="0"/>
              <w:rPr>
                <w:sz w:val="1"/>
                <w:szCs w:val="1"/>
                <w:color w:val="auto"/>
              </w:rPr>
            </w:pPr>
          </w:p>
        </w:tc>
      </w:tr>
      <w:tr>
        <w:trPr>
          <w:trHeight w:val="340"/>
        </w:trPr>
        <w:tc>
          <w:tcPr>
            <w:tcW w:w="80" w:type="dxa"/>
            <w:vAlign w:val="bottom"/>
          </w:tcPr>
          <w:p>
            <w:pPr>
              <w:spacing w:after="0"/>
              <w:rPr>
                <w:sz w:val="24"/>
                <w:szCs w:val="24"/>
                <w:color w:val="auto"/>
              </w:rPr>
            </w:pPr>
          </w:p>
        </w:tc>
        <w:tc>
          <w:tcPr>
            <w:tcW w:w="258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1700" w:type="dxa"/>
            <w:vAlign w:val="bottom"/>
            <w:gridSpan w:val="2"/>
          </w:tcPr>
          <w:p>
            <w:pPr>
              <w:jc w:val="center"/>
              <w:ind w:left="659"/>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vMerge w:val="restart"/>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9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80" w:type="dxa"/>
            <w:vAlign w:val="bottom"/>
          </w:tcPr>
          <w:p>
            <w:pPr>
              <w:spacing w:after="0"/>
              <w:rPr>
                <w:sz w:val="10"/>
                <w:szCs w:val="10"/>
                <w:color w:val="auto"/>
              </w:rPr>
            </w:pPr>
          </w:p>
        </w:tc>
        <w:tc>
          <w:tcPr>
            <w:tcW w:w="1600" w:type="dxa"/>
            <w:vAlign w:val="bottom"/>
          </w:tcPr>
          <w:p>
            <w:pPr>
              <w:jc w:val="center"/>
              <w:ind w:left="759"/>
              <w:spacing w:after="0" w:line="124"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Pr>
          <w:p>
            <w:pPr>
              <w:jc w:val="right"/>
              <w:ind w:right="639"/>
              <w:spacing w:after="0"/>
              <w:rPr>
                <w:sz w:val="20"/>
                <w:szCs w:val="20"/>
                <w:color w:val="auto"/>
              </w:rPr>
            </w:pPr>
            <w:r>
              <w:rPr>
                <w:rFonts w:ascii="Times New Roman" w:cs="Times New Roman" w:eastAsia="Times New Roman" w:hAnsi="Times New Roman"/>
                <w:sz w:val="18"/>
                <w:szCs w:val="18"/>
                <w:color w:val="auto"/>
              </w:rPr>
              <w:t>(25,598)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(54,046)</w:t>
            </w:r>
          </w:p>
        </w:tc>
        <w:tc>
          <w:tcPr>
            <w:tcW w:w="0" w:type="dxa"/>
            <w:vAlign w:val="bottom"/>
          </w:tcPr>
          <w:p>
            <w:pPr>
              <w:spacing w:after="0"/>
              <w:rPr>
                <w:sz w:val="1"/>
                <w:szCs w:val="1"/>
                <w:color w:val="auto"/>
              </w:rPr>
            </w:pPr>
          </w:p>
        </w:tc>
      </w:tr>
      <w:tr>
        <w:trPr>
          <w:trHeight w:val="216"/>
        </w:trPr>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Pr>
          <w:p>
            <w:pPr>
              <w:jc w:val="right"/>
              <w:ind w:right="639"/>
              <w:spacing w:after="0"/>
              <w:rPr>
                <w:sz w:val="20"/>
                <w:szCs w:val="20"/>
                <w:color w:val="auto"/>
              </w:rPr>
            </w:pPr>
            <w:r>
              <w:rPr>
                <w:rFonts w:ascii="Times New Roman" w:cs="Times New Roman" w:eastAsia="Times New Roman" w:hAnsi="Times New Roman"/>
                <w:sz w:val="18"/>
                <w:szCs w:val="18"/>
                <w:color w:val="auto"/>
              </w:rPr>
              <w:t>(0.59)</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600" w:type="dxa"/>
            <w:vAlign w:val="bottom"/>
          </w:tcPr>
          <w:p>
            <w:pPr>
              <w:jc w:val="right"/>
              <w:ind w:right="699"/>
              <w:spacing w:after="0"/>
              <w:rPr>
                <w:sz w:val="20"/>
                <w:szCs w:val="20"/>
                <w:color w:val="auto"/>
              </w:rPr>
            </w:pPr>
            <w:r>
              <w:rPr>
                <w:rFonts w:ascii="Times New Roman" w:cs="Times New Roman" w:eastAsia="Times New Roman" w:hAnsi="Times New Roman"/>
                <w:sz w:val="18"/>
                <w:szCs w:val="18"/>
                <w:color w:val="auto"/>
                <w:w w:val="98"/>
              </w:rPr>
              <w:t>43,236,171</w:t>
            </w: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8"/>
              </w:rPr>
              <w:t>39,427,476</w:t>
            </w: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1600" w:type="dxa"/>
            <w:vAlign w:val="bottom"/>
          </w:tcPr>
          <w:p>
            <w:pPr>
              <w:jc w:val="right"/>
              <w:ind w:right="699"/>
              <w:spacing w:after="0"/>
              <w:rPr>
                <w:sz w:val="20"/>
                <w:szCs w:val="20"/>
                <w:color w:val="auto"/>
              </w:rPr>
            </w:pPr>
            <w:r>
              <w:rPr>
                <w:rFonts w:ascii="Times New Roman" w:cs="Times New Roman" w:eastAsia="Times New Roman" w:hAnsi="Times New Roman"/>
                <w:sz w:val="18"/>
                <w:szCs w:val="18"/>
                <w:color w:val="auto"/>
                <w:w w:val="98"/>
              </w:rPr>
              <w:t>43,299,453</w:t>
            </w:r>
          </w:p>
        </w:tc>
        <w:tc>
          <w:tcPr>
            <w:tcW w:w="10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8"/>
              </w:rPr>
              <w:t>43,112,742</w:t>
            </w:r>
          </w:p>
        </w:tc>
        <w:tc>
          <w:tcPr>
            <w:tcW w:w="0" w:type="dxa"/>
            <w:vAlign w:val="bottom"/>
          </w:tcPr>
          <w:p>
            <w:pPr>
              <w:spacing w:after="0"/>
              <w:rPr>
                <w:sz w:val="1"/>
                <w:szCs w:val="1"/>
                <w:color w:val="auto"/>
              </w:rPr>
            </w:pPr>
          </w:p>
        </w:tc>
      </w:tr>
    </w:tbl>
    <w:p>
      <w:pPr>
        <w:spacing w:after="0" w:line="216" w:lineRule="exact"/>
        <w:rPr>
          <w:sz w:val="20"/>
          <w:szCs w:val="20"/>
          <w:color w:val="auto"/>
        </w:rPr>
      </w:pPr>
    </w:p>
    <w:p>
      <w:pPr>
        <w:sectPr>
          <w:pgSz w:w="11900" w:h="16838" w:orient="portrait"/>
          <w:cols w:equalWidth="0" w:num="2">
            <w:col w:w="6380" w:space="720"/>
            <w:col w:w="3039"/>
          </w:cols>
          <w:pgMar w:left="320" w:top="455" w:right="1440" w:bottom="1440" w:gutter="0" w:footer="0" w:header="0"/>
        </w:sectPr>
      </w:pPr>
    </w:p>
    <w:p>
      <w:pPr>
        <w:spacing w:after="0" w:line="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AS ADJUSTED FOR 1-FOR-10 REVERSE STOCK SPLIT (unaudited, in thousands, except per share amounts):</w:t>
      </w:r>
    </w:p>
    <w:p>
      <w:pPr>
        <w:spacing w:after="0" w:line="237"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gridSpan w:val="2"/>
          </w:tcPr>
          <w:p>
            <w:pPr>
              <w:jc w:val="center"/>
              <w:ind w:left="559"/>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2"/>
          </w:tcPr>
          <w:p>
            <w:pPr>
              <w:jc w:val="center"/>
              <w:ind w:left="539"/>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720" w:type="dxa"/>
            <w:vAlign w:val="bottom"/>
            <w:vMerge w:val="restart"/>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93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tcPr>
          <w:p>
            <w:pPr>
              <w:jc w:val="center"/>
              <w:ind w:left="659"/>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599"/>
              <w:spacing w:after="0"/>
              <w:rPr>
                <w:sz w:val="20"/>
                <w:szCs w:val="20"/>
                <w:color w:val="auto"/>
              </w:rPr>
            </w:pPr>
            <w:r>
              <w:rPr>
                <w:rFonts w:ascii="Times New Roman" w:cs="Times New Roman" w:eastAsia="Times New Roman" w:hAnsi="Times New Roman"/>
                <w:sz w:val="18"/>
                <w:szCs w:val="18"/>
                <w:color w:val="auto"/>
              </w:rPr>
              <w:t>(71,869)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(40,837)</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599"/>
              <w:spacing w:after="0"/>
              <w:rPr>
                <w:sz w:val="20"/>
                <w:szCs w:val="20"/>
                <w:color w:val="auto"/>
              </w:rPr>
            </w:pPr>
            <w:r>
              <w:rPr>
                <w:rFonts w:ascii="Times New Roman" w:cs="Times New Roman" w:eastAsia="Times New Roman" w:hAnsi="Times New Roman"/>
                <w:sz w:val="18"/>
                <w:szCs w:val="18"/>
                <w:color w:val="auto"/>
              </w:rPr>
              <w:t>(17.81)</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(27.02)</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w w:val="99"/>
              </w:rPr>
              <w:t>4,036,230</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7"/>
              </w:rPr>
              <w:t>1,511,512</w:t>
            </w:r>
          </w:p>
        </w:tc>
        <w:tc>
          <w:tcPr>
            <w:tcW w:w="0" w:type="dxa"/>
            <w:vAlign w:val="bottom"/>
          </w:tcPr>
          <w:p>
            <w:pPr>
              <w:spacing w:after="0"/>
              <w:rPr>
                <w:sz w:val="1"/>
                <w:szCs w:val="1"/>
                <w:color w:val="auto"/>
              </w:rPr>
            </w:pPr>
          </w:p>
        </w:tc>
      </w:tr>
      <w:tr>
        <w:trPr>
          <w:trHeight w:val="234"/>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Common shares outstanding at year end</w:t>
            </w: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Pr>
          <w:p>
            <w:pPr>
              <w:jc w:val="right"/>
              <w:ind w:right="659"/>
              <w:spacing w:after="0"/>
              <w:rPr>
                <w:sz w:val="20"/>
                <w:szCs w:val="20"/>
                <w:color w:val="auto"/>
              </w:rPr>
            </w:pPr>
            <w:r>
              <w:rPr>
                <w:rFonts w:ascii="Times New Roman" w:cs="Times New Roman" w:eastAsia="Times New Roman" w:hAnsi="Times New Roman"/>
                <w:sz w:val="18"/>
                <w:szCs w:val="18"/>
                <w:color w:val="auto"/>
                <w:w w:val="99"/>
              </w:rPr>
              <w:t>4,320,815</w:t>
            </w:r>
          </w:p>
        </w:tc>
        <w:tc>
          <w:tcPr>
            <w:tcW w:w="1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7"/>
              </w:rPr>
              <w:t>1,556,538</w:t>
            </w:r>
          </w:p>
        </w:tc>
        <w:tc>
          <w:tcPr>
            <w:tcW w:w="0" w:type="dxa"/>
            <w:vAlign w:val="bottom"/>
          </w:tcPr>
          <w:p>
            <w:pPr>
              <w:spacing w:after="0"/>
              <w:rPr>
                <w:sz w:val="1"/>
                <w:szCs w:val="1"/>
                <w:color w:val="auto"/>
              </w:rPr>
            </w:pPr>
          </w:p>
        </w:tc>
      </w:tr>
      <w:tr>
        <w:trPr>
          <w:trHeight w:val="321"/>
        </w:trPr>
        <w:tc>
          <w:tcPr>
            <w:tcW w:w="5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48"/>
        </w:trPr>
        <w:tc>
          <w:tcPr>
            <w:tcW w:w="5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tcPr>
          <w:p>
            <w:pPr>
              <w:jc w:val="center"/>
              <w:ind w:left="659"/>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2"/>
                <w:szCs w:val="12"/>
                <w:color w:val="auto"/>
              </w:rPr>
            </w:pPr>
          </w:p>
        </w:tc>
        <w:tc>
          <w:tcPr>
            <w:tcW w:w="720" w:type="dxa"/>
            <w:vAlign w:val="bottom"/>
            <w:vMerge w:val="restart"/>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9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tcPr>
          <w:p>
            <w:pPr>
              <w:jc w:val="center"/>
              <w:ind w:left="659"/>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599"/>
              <w:spacing w:after="0"/>
              <w:rPr>
                <w:sz w:val="20"/>
                <w:szCs w:val="20"/>
                <w:color w:val="auto"/>
              </w:rPr>
            </w:pPr>
            <w:r>
              <w:rPr>
                <w:rFonts w:ascii="Times New Roman" w:cs="Times New Roman" w:eastAsia="Times New Roman" w:hAnsi="Times New Roman"/>
                <w:sz w:val="18"/>
                <w:szCs w:val="18"/>
                <w:color w:val="auto"/>
              </w:rPr>
              <w:t>(15,231)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(19,048)</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599"/>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(5.95)</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w w:val="99"/>
              </w:rPr>
              <w:t>4,321,280</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7"/>
              </w:rPr>
              <w:t>3,202,716</w:t>
            </w:r>
          </w:p>
        </w:tc>
        <w:tc>
          <w:tcPr>
            <w:tcW w:w="0" w:type="dxa"/>
            <w:vAlign w:val="bottom"/>
          </w:tcPr>
          <w:p>
            <w:pPr>
              <w:spacing w:after="0"/>
              <w:rPr>
                <w:sz w:val="1"/>
                <w:szCs w:val="1"/>
                <w:color w:val="auto"/>
              </w:rPr>
            </w:pPr>
          </w:p>
        </w:tc>
      </w:tr>
      <w:tr>
        <w:trPr>
          <w:trHeight w:val="234"/>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Common shares outstanding at period end</w:t>
            </w: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Pr>
          <w:p>
            <w:pPr>
              <w:jc w:val="right"/>
              <w:ind w:right="659"/>
              <w:spacing w:after="0"/>
              <w:rPr>
                <w:sz w:val="20"/>
                <w:szCs w:val="20"/>
                <w:color w:val="auto"/>
              </w:rPr>
            </w:pPr>
            <w:r>
              <w:rPr>
                <w:rFonts w:ascii="Times New Roman" w:cs="Times New Roman" w:eastAsia="Times New Roman" w:hAnsi="Times New Roman"/>
                <w:sz w:val="18"/>
                <w:szCs w:val="18"/>
                <w:color w:val="auto"/>
                <w:w w:val="99"/>
              </w:rPr>
              <w:t>4,322,715</w:t>
            </w:r>
          </w:p>
        </w:tc>
        <w:tc>
          <w:tcPr>
            <w:tcW w:w="1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7"/>
              </w:rPr>
              <w:t>4,300,214</w:t>
            </w:r>
          </w:p>
        </w:tc>
        <w:tc>
          <w:tcPr>
            <w:tcW w:w="0" w:type="dxa"/>
            <w:vAlign w:val="bottom"/>
          </w:tcPr>
          <w:p>
            <w:pPr>
              <w:spacing w:after="0"/>
              <w:rPr>
                <w:sz w:val="1"/>
                <w:szCs w:val="1"/>
                <w:color w:val="auto"/>
              </w:rPr>
            </w:pPr>
          </w:p>
        </w:tc>
      </w:tr>
      <w:tr>
        <w:trPr>
          <w:trHeight w:val="346"/>
        </w:trPr>
        <w:tc>
          <w:tcPr>
            <w:tcW w:w="5260" w:type="dxa"/>
            <w:vAlign w:val="bottom"/>
          </w:tcPr>
          <w:p>
            <w:pPr>
              <w:ind w:left="4100"/>
              <w:spacing w:after="0"/>
              <w:rPr>
                <w:sz w:val="20"/>
                <w:szCs w:val="20"/>
                <w:color w:val="auto"/>
              </w:rPr>
            </w:pPr>
            <w:r>
              <w:rPr>
                <w:rFonts w:ascii="Times New Roman" w:cs="Times New Roman" w:eastAsia="Times New Roman" w:hAnsi="Times New Roman"/>
                <w:sz w:val="18"/>
                <w:szCs w:val="18"/>
                <w:color w:val="auto"/>
              </w:rPr>
              <w:t>13</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455" w:right="1440"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Net loss and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-119380</wp:posOffset>
            </wp:positionV>
            <wp:extent cx="5314950" cy="1371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7">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spacing w:after="0" w:line="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Net loss per share,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5715</wp:posOffset>
            </wp:positionV>
            <wp:extent cx="5314950"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8">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ind w:left="1440" w:right="500"/>
        <w:spacing w:after="0" w:line="260" w:lineRule="auto"/>
        <w:rPr>
          <w:sz w:val="20"/>
          <w:szCs w:val="20"/>
          <w:color w:val="auto"/>
        </w:rPr>
      </w:pPr>
      <w:r>
        <w:rPr>
          <w:rFonts w:ascii="Times New Roman" w:cs="Times New Roman" w:eastAsia="Times New Roman" w:hAnsi="Times New Roman"/>
          <w:sz w:val="18"/>
          <w:szCs w:val="18"/>
          <w:color w:val="auto"/>
        </w:rPr>
        <w:t>Weighted average common shares outstanding, basic and diluted Common shares outstanding at period end</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Net loss and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-119380</wp:posOffset>
            </wp:positionV>
            <wp:extent cx="5314950"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9">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spacing w:after="0" w:line="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Net loss per share,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5715</wp:posOffset>
            </wp:positionV>
            <wp:extent cx="5314950" cy="137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0">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ind w:left="1440" w:right="500"/>
        <w:spacing w:after="0" w:line="260" w:lineRule="auto"/>
        <w:rPr>
          <w:sz w:val="20"/>
          <w:szCs w:val="20"/>
          <w:color w:val="auto"/>
        </w:rPr>
      </w:pPr>
      <w:r>
        <w:rPr>
          <w:rFonts w:ascii="Times New Roman" w:cs="Times New Roman" w:eastAsia="Times New Roman" w:hAnsi="Times New Roman"/>
          <w:sz w:val="18"/>
          <w:szCs w:val="18"/>
          <w:color w:val="auto"/>
        </w:rPr>
        <w:t>Weighted average common shares outstanding, basic and diluted Common shares outstanding at period end</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Net loss and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-119380</wp:posOffset>
            </wp:positionV>
            <wp:extent cx="5314950" cy="1371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1">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spacing w:after="0" w:line="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Net loss per share,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5715</wp:posOffset>
            </wp:positionV>
            <wp:extent cx="5314950" cy="1371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2">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ind w:left="1440" w:right="500"/>
        <w:spacing w:after="0" w:line="260" w:lineRule="auto"/>
        <w:rPr>
          <w:sz w:val="20"/>
          <w:szCs w:val="20"/>
          <w:color w:val="auto"/>
        </w:rPr>
      </w:pPr>
      <w:r>
        <w:rPr>
          <w:rFonts w:ascii="Times New Roman" w:cs="Times New Roman" w:eastAsia="Times New Roman" w:hAnsi="Times New Roman"/>
          <w:sz w:val="18"/>
          <w:szCs w:val="18"/>
          <w:color w:val="auto"/>
        </w:rPr>
        <w:t>Weighted average common shares outstanding, basic and diluted Common shares outstanding at period end</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Net loss and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-119380</wp:posOffset>
            </wp:positionV>
            <wp:extent cx="5314950" cy="1371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3">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spacing w:after="0" w:line="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Net loss per share,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5715</wp:posOffset>
            </wp:positionV>
            <wp:extent cx="5314950" cy="1371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4">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ind w:left="1440" w:right="500"/>
        <w:spacing w:after="0" w:line="260" w:lineRule="auto"/>
        <w:rPr>
          <w:sz w:val="20"/>
          <w:szCs w:val="20"/>
          <w:color w:val="auto"/>
        </w:rPr>
      </w:pPr>
      <w:r>
        <w:rPr>
          <w:rFonts w:ascii="Times New Roman" w:cs="Times New Roman" w:eastAsia="Times New Roman" w:hAnsi="Times New Roman"/>
          <w:sz w:val="18"/>
          <w:szCs w:val="18"/>
          <w:color w:val="auto"/>
        </w:rPr>
        <w:t>Weighted average common shares outstanding, basic and diluted Common shares outstanding at period end</w:t>
      </w:r>
    </w:p>
    <w:p>
      <w:pPr>
        <w:spacing w:after="0" w:line="11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3"/>
                <w:szCs w:val="13"/>
                <w:color w:val="auto"/>
              </w:rPr>
            </w:pPr>
          </w:p>
        </w:tc>
        <w:tc>
          <w:tcPr>
            <w:tcW w:w="236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1480" w:type="dxa"/>
            <w:vAlign w:val="bottom"/>
          </w:tcPr>
          <w:p>
            <w:pPr>
              <w:jc w:val="center"/>
              <w:ind w:left="659"/>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Pr>
          <w:p>
            <w:pPr>
              <w:spacing w:after="0"/>
              <w:rPr>
                <w:sz w:val="12"/>
                <w:szCs w:val="12"/>
                <w:color w:val="auto"/>
              </w:rPr>
            </w:pPr>
          </w:p>
        </w:tc>
        <w:tc>
          <w:tcPr>
            <w:tcW w:w="720" w:type="dxa"/>
            <w:vAlign w:val="bottom"/>
            <w:vMerge w:val="restart"/>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9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80" w:type="dxa"/>
            <w:vAlign w:val="bottom"/>
          </w:tcPr>
          <w:p>
            <w:pPr>
              <w:spacing w:after="0"/>
              <w:rPr>
                <w:sz w:val="10"/>
                <w:szCs w:val="10"/>
                <w:color w:val="auto"/>
              </w:rPr>
            </w:pPr>
          </w:p>
        </w:tc>
        <w:tc>
          <w:tcPr>
            <w:tcW w:w="1480" w:type="dxa"/>
            <w:vAlign w:val="bottom"/>
          </w:tcPr>
          <w:p>
            <w:pPr>
              <w:jc w:val="center"/>
              <w:ind w:left="659"/>
              <w:spacing w:after="0" w:line="124"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Pr>
          <w:p>
            <w:pPr>
              <w:jc w:val="right"/>
              <w:ind w:right="599"/>
              <w:spacing w:after="0"/>
              <w:rPr>
                <w:sz w:val="20"/>
                <w:szCs w:val="20"/>
                <w:color w:val="auto"/>
              </w:rPr>
            </w:pPr>
            <w:r>
              <w:rPr>
                <w:rFonts w:ascii="Times New Roman" w:cs="Times New Roman" w:eastAsia="Times New Roman" w:hAnsi="Times New Roman"/>
                <w:sz w:val="18"/>
                <w:szCs w:val="18"/>
                <w:color w:val="auto"/>
              </w:rPr>
              <w:t>(7,090)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(16,447)</w:t>
            </w:r>
          </w:p>
        </w:tc>
        <w:tc>
          <w:tcPr>
            <w:tcW w:w="0" w:type="dxa"/>
            <w:vAlign w:val="bottom"/>
          </w:tcPr>
          <w:p>
            <w:pPr>
              <w:spacing w:after="0"/>
              <w:rPr>
                <w:sz w:val="1"/>
                <w:szCs w:val="1"/>
                <w:color w:val="auto"/>
              </w:rPr>
            </w:pPr>
          </w:p>
        </w:tc>
      </w:tr>
      <w:tr>
        <w:trPr>
          <w:trHeight w:val="216"/>
        </w:trPr>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Pr>
          <w:p>
            <w:pPr>
              <w:jc w:val="right"/>
              <w:ind w:right="599"/>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480" w:type="dxa"/>
            <w:vAlign w:val="bottom"/>
          </w:tcPr>
          <w:p>
            <w:pPr>
              <w:jc w:val="right"/>
              <w:ind w:right="659"/>
              <w:spacing w:after="0"/>
              <w:rPr>
                <w:sz w:val="20"/>
                <w:szCs w:val="20"/>
                <w:color w:val="auto"/>
              </w:rPr>
            </w:pPr>
            <w:r>
              <w:rPr>
                <w:rFonts w:ascii="Times New Roman" w:cs="Times New Roman" w:eastAsia="Times New Roman" w:hAnsi="Times New Roman"/>
                <w:sz w:val="18"/>
                <w:szCs w:val="18"/>
                <w:color w:val="auto"/>
                <w:w w:val="99"/>
              </w:rPr>
              <w:t>4,323,052</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4,304,185</w:t>
            </w: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1480" w:type="dxa"/>
            <w:vAlign w:val="bottom"/>
          </w:tcPr>
          <w:p>
            <w:pPr>
              <w:jc w:val="right"/>
              <w:ind w:right="659"/>
              <w:spacing w:after="0"/>
              <w:rPr>
                <w:sz w:val="20"/>
                <w:szCs w:val="20"/>
                <w:color w:val="auto"/>
              </w:rPr>
            </w:pPr>
            <w:r>
              <w:rPr>
                <w:rFonts w:ascii="Times New Roman" w:cs="Times New Roman" w:eastAsia="Times New Roman" w:hAnsi="Times New Roman"/>
                <w:sz w:val="18"/>
                <w:szCs w:val="18"/>
                <w:color w:val="auto"/>
                <w:w w:val="99"/>
              </w:rPr>
              <w:t>4,324,445</w:t>
            </w:r>
          </w:p>
        </w:tc>
        <w:tc>
          <w:tcPr>
            <w:tcW w:w="10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4,305,511</w:t>
            </w:r>
          </w:p>
        </w:tc>
        <w:tc>
          <w:tcPr>
            <w:tcW w:w="0" w:type="dxa"/>
            <w:vAlign w:val="bottom"/>
          </w:tcPr>
          <w:p>
            <w:pPr>
              <w:spacing w:after="0"/>
              <w:rPr>
                <w:sz w:val="1"/>
                <w:szCs w:val="1"/>
                <w:color w:val="auto"/>
              </w:rPr>
            </w:pPr>
          </w:p>
        </w:tc>
      </w:tr>
      <w:tr>
        <w:trPr>
          <w:trHeight w:val="340"/>
        </w:trPr>
        <w:tc>
          <w:tcPr>
            <w:tcW w:w="80" w:type="dxa"/>
            <w:vAlign w:val="bottom"/>
          </w:tcPr>
          <w:p>
            <w:pPr>
              <w:spacing w:after="0"/>
              <w:rPr>
                <w:sz w:val="24"/>
                <w:szCs w:val="24"/>
                <w:color w:val="auto"/>
              </w:rPr>
            </w:pPr>
          </w:p>
        </w:tc>
        <w:tc>
          <w:tcPr>
            <w:tcW w:w="236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1480" w:type="dxa"/>
            <w:vAlign w:val="bottom"/>
          </w:tcPr>
          <w:p>
            <w:pPr>
              <w:jc w:val="center"/>
              <w:ind w:left="659"/>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Pr>
          <w:p>
            <w:pPr>
              <w:spacing w:after="0"/>
              <w:rPr>
                <w:sz w:val="12"/>
                <w:szCs w:val="12"/>
                <w:color w:val="auto"/>
              </w:rPr>
            </w:pPr>
          </w:p>
        </w:tc>
        <w:tc>
          <w:tcPr>
            <w:tcW w:w="720" w:type="dxa"/>
            <w:vAlign w:val="bottom"/>
            <w:vMerge w:val="restart"/>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9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80" w:type="dxa"/>
            <w:vAlign w:val="bottom"/>
          </w:tcPr>
          <w:p>
            <w:pPr>
              <w:spacing w:after="0"/>
              <w:rPr>
                <w:sz w:val="10"/>
                <w:szCs w:val="10"/>
                <w:color w:val="auto"/>
              </w:rPr>
            </w:pPr>
          </w:p>
        </w:tc>
        <w:tc>
          <w:tcPr>
            <w:tcW w:w="1480" w:type="dxa"/>
            <w:vAlign w:val="bottom"/>
          </w:tcPr>
          <w:p>
            <w:pPr>
              <w:jc w:val="center"/>
              <w:ind w:left="659"/>
              <w:spacing w:after="0" w:line="124"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Pr>
          <w:p>
            <w:pPr>
              <w:jc w:val="right"/>
              <w:ind w:right="599"/>
              <w:spacing w:after="0"/>
              <w:rPr>
                <w:sz w:val="20"/>
                <w:szCs w:val="20"/>
                <w:color w:val="auto"/>
              </w:rPr>
            </w:pPr>
            <w:r>
              <w:rPr>
                <w:rFonts w:ascii="Times New Roman" w:cs="Times New Roman" w:eastAsia="Times New Roman" w:hAnsi="Times New Roman"/>
                <w:sz w:val="18"/>
                <w:szCs w:val="18"/>
                <w:color w:val="auto"/>
              </w:rPr>
              <w:t>(22,321)</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(35,495)</w:t>
            </w:r>
          </w:p>
        </w:tc>
        <w:tc>
          <w:tcPr>
            <w:tcW w:w="0" w:type="dxa"/>
            <w:vAlign w:val="bottom"/>
          </w:tcPr>
          <w:p>
            <w:pPr>
              <w:spacing w:after="0"/>
              <w:rPr>
                <w:sz w:val="1"/>
                <w:szCs w:val="1"/>
                <w:color w:val="auto"/>
              </w:rPr>
            </w:pPr>
          </w:p>
        </w:tc>
      </w:tr>
      <w:tr>
        <w:trPr>
          <w:trHeight w:val="216"/>
        </w:trPr>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Pr>
          <w:p>
            <w:pPr>
              <w:jc w:val="right"/>
              <w:ind w:right="599"/>
              <w:spacing w:after="0"/>
              <w:rPr>
                <w:sz w:val="20"/>
                <w:szCs w:val="20"/>
                <w:color w:val="auto"/>
              </w:rPr>
            </w:pPr>
            <w:r>
              <w:rPr>
                <w:rFonts w:ascii="Times New Roman" w:cs="Times New Roman" w:eastAsia="Times New Roman" w:hAnsi="Times New Roman"/>
                <w:sz w:val="18"/>
                <w:szCs w:val="18"/>
                <w:color w:val="auto"/>
              </w:rPr>
              <w:t>(5.16)</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480" w:type="dxa"/>
            <w:vAlign w:val="bottom"/>
          </w:tcPr>
          <w:p>
            <w:pPr>
              <w:jc w:val="right"/>
              <w:ind w:right="659"/>
              <w:spacing w:after="0"/>
              <w:rPr>
                <w:sz w:val="20"/>
                <w:szCs w:val="20"/>
                <w:color w:val="auto"/>
              </w:rPr>
            </w:pPr>
            <w:r>
              <w:rPr>
                <w:rFonts w:ascii="Times New Roman" w:cs="Times New Roman" w:eastAsia="Times New Roman" w:hAnsi="Times New Roman"/>
                <w:sz w:val="18"/>
                <w:szCs w:val="18"/>
                <w:color w:val="auto"/>
                <w:w w:val="99"/>
              </w:rPr>
              <w:t>4,322,171</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3,756,493</w:t>
            </w: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1480" w:type="dxa"/>
            <w:vAlign w:val="bottom"/>
          </w:tcPr>
          <w:p>
            <w:pPr>
              <w:jc w:val="right"/>
              <w:ind w:right="659"/>
              <w:spacing w:after="0"/>
              <w:rPr>
                <w:sz w:val="20"/>
                <w:szCs w:val="20"/>
                <w:color w:val="auto"/>
              </w:rPr>
            </w:pPr>
            <w:r>
              <w:rPr>
                <w:rFonts w:ascii="Times New Roman" w:cs="Times New Roman" w:eastAsia="Times New Roman" w:hAnsi="Times New Roman"/>
                <w:sz w:val="18"/>
                <w:szCs w:val="18"/>
                <w:color w:val="auto"/>
                <w:w w:val="99"/>
              </w:rPr>
              <w:t>4,324,445</w:t>
            </w:r>
          </w:p>
        </w:tc>
        <w:tc>
          <w:tcPr>
            <w:tcW w:w="10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4,305,511</w:t>
            </w:r>
          </w:p>
        </w:tc>
        <w:tc>
          <w:tcPr>
            <w:tcW w:w="0" w:type="dxa"/>
            <w:vAlign w:val="bottom"/>
          </w:tcPr>
          <w:p>
            <w:pPr>
              <w:spacing w:after="0"/>
              <w:rPr>
                <w:sz w:val="1"/>
                <w:szCs w:val="1"/>
                <w:color w:val="auto"/>
              </w:rPr>
            </w:pPr>
          </w:p>
        </w:tc>
      </w:tr>
      <w:tr>
        <w:trPr>
          <w:trHeight w:val="340"/>
        </w:trPr>
        <w:tc>
          <w:tcPr>
            <w:tcW w:w="80" w:type="dxa"/>
            <w:vAlign w:val="bottom"/>
          </w:tcPr>
          <w:p>
            <w:pPr>
              <w:spacing w:after="0"/>
              <w:rPr>
                <w:sz w:val="24"/>
                <w:szCs w:val="24"/>
                <w:color w:val="auto"/>
              </w:rPr>
            </w:pPr>
          </w:p>
        </w:tc>
        <w:tc>
          <w:tcPr>
            <w:tcW w:w="236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1580" w:type="dxa"/>
            <w:vAlign w:val="bottom"/>
            <w:gridSpan w:val="2"/>
          </w:tcPr>
          <w:p>
            <w:pPr>
              <w:jc w:val="center"/>
              <w:ind w:left="539"/>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vMerge w:val="restart"/>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9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80" w:type="dxa"/>
            <w:vAlign w:val="bottom"/>
          </w:tcPr>
          <w:p>
            <w:pPr>
              <w:spacing w:after="0"/>
              <w:rPr>
                <w:sz w:val="10"/>
                <w:szCs w:val="10"/>
                <w:color w:val="auto"/>
              </w:rPr>
            </w:pPr>
          </w:p>
        </w:tc>
        <w:tc>
          <w:tcPr>
            <w:tcW w:w="1480" w:type="dxa"/>
            <w:vAlign w:val="bottom"/>
          </w:tcPr>
          <w:p>
            <w:pPr>
              <w:jc w:val="center"/>
              <w:ind w:left="659"/>
              <w:spacing w:after="0" w:line="124"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Pr>
          <w:p>
            <w:pPr>
              <w:jc w:val="right"/>
              <w:ind w:right="599"/>
              <w:spacing w:after="0"/>
              <w:rPr>
                <w:sz w:val="20"/>
                <w:szCs w:val="20"/>
                <w:color w:val="auto"/>
              </w:rPr>
            </w:pPr>
            <w:r>
              <w:rPr>
                <w:rFonts w:ascii="Times New Roman" w:cs="Times New Roman" w:eastAsia="Times New Roman" w:hAnsi="Times New Roman"/>
                <w:sz w:val="18"/>
                <w:szCs w:val="18"/>
                <w:color w:val="auto"/>
              </w:rPr>
              <w:t>(3,277)</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(18,551)</w:t>
            </w:r>
          </w:p>
        </w:tc>
        <w:tc>
          <w:tcPr>
            <w:tcW w:w="0" w:type="dxa"/>
            <w:vAlign w:val="bottom"/>
          </w:tcPr>
          <w:p>
            <w:pPr>
              <w:spacing w:after="0"/>
              <w:rPr>
                <w:sz w:val="1"/>
                <w:szCs w:val="1"/>
                <w:color w:val="auto"/>
              </w:rPr>
            </w:pPr>
          </w:p>
        </w:tc>
      </w:tr>
      <w:tr>
        <w:trPr>
          <w:trHeight w:val="216"/>
        </w:trPr>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Pr>
          <w:p>
            <w:pPr>
              <w:jc w:val="right"/>
              <w:ind w:right="599"/>
              <w:spacing w:after="0"/>
              <w:rPr>
                <w:sz w:val="20"/>
                <w:szCs w:val="20"/>
                <w:color w:val="auto"/>
              </w:rPr>
            </w:pPr>
            <w:r>
              <w:rPr>
                <w:rFonts w:ascii="Times New Roman" w:cs="Times New Roman" w:eastAsia="Times New Roman" w:hAnsi="Times New Roman"/>
                <w:sz w:val="18"/>
                <w:szCs w:val="18"/>
                <w:color w:val="auto"/>
              </w:rPr>
              <w:t>(0.76)</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480" w:type="dxa"/>
            <w:vAlign w:val="bottom"/>
          </w:tcPr>
          <w:p>
            <w:pPr>
              <w:jc w:val="right"/>
              <w:ind w:right="659"/>
              <w:spacing w:after="0"/>
              <w:rPr>
                <w:sz w:val="20"/>
                <w:szCs w:val="20"/>
                <w:color w:val="auto"/>
              </w:rPr>
            </w:pPr>
            <w:r>
              <w:rPr>
                <w:rFonts w:ascii="Times New Roman" w:cs="Times New Roman" w:eastAsia="Times New Roman" w:hAnsi="Times New Roman"/>
                <w:sz w:val="18"/>
                <w:szCs w:val="18"/>
                <w:color w:val="auto"/>
                <w:w w:val="99"/>
              </w:rPr>
              <w:t>4,326,461</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4,309,182</w:t>
            </w: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1480" w:type="dxa"/>
            <w:vAlign w:val="bottom"/>
          </w:tcPr>
          <w:p>
            <w:pPr>
              <w:jc w:val="right"/>
              <w:ind w:right="659"/>
              <w:spacing w:after="0"/>
              <w:rPr>
                <w:sz w:val="20"/>
                <w:szCs w:val="20"/>
                <w:color w:val="auto"/>
              </w:rPr>
            </w:pPr>
            <w:r>
              <w:rPr>
                <w:rFonts w:ascii="Times New Roman" w:cs="Times New Roman" w:eastAsia="Times New Roman" w:hAnsi="Times New Roman"/>
                <w:sz w:val="18"/>
                <w:szCs w:val="18"/>
                <w:color w:val="auto"/>
                <w:w w:val="99"/>
              </w:rPr>
              <w:t>4,329,945</w:t>
            </w:r>
          </w:p>
        </w:tc>
        <w:tc>
          <w:tcPr>
            <w:tcW w:w="10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4,311,274</w:t>
            </w:r>
          </w:p>
        </w:tc>
        <w:tc>
          <w:tcPr>
            <w:tcW w:w="0" w:type="dxa"/>
            <w:vAlign w:val="bottom"/>
          </w:tcPr>
          <w:p>
            <w:pPr>
              <w:spacing w:after="0"/>
              <w:rPr>
                <w:sz w:val="1"/>
                <w:szCs w:val="1"/>
                <w:color w:val="auto"/>
              </w:rPr>
            </w:pPr>
          </w:p>
        </w:tc>
      </w:tr>
      <w:tr>
        <w:trPr>
          <w:trHeight w:val="340"/>
        </w:trPr>
        <w:tc>
          <w:tcPr>
            <w:tcW w:w="80" w:type="dxa"/>
            <w:vAlign w:val="bottom"/>
          </w:tcPr>
          <w:p>
            <w:pPr>
              <w:spacing w:after="0"/>
              <w:rPr>
                <w:sz w:val="24"/>
                <w:szCs w:val="24"/>
                <w:color w:val="auto"/>
              </w:rPr>
            </w:pPr>
          </w:p>
        </w:tc>
        <w:tc>
          <w:tcPr>
            <w:tcW w:w="236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1580" w:type="dxa"/>
            <w:vAlign w:val="bottom"/>
            <w:gridSpan w:val="2"/>
          </w:tcPr>
          <w:p>
            <w:pPr>
              <w:jc w:val="center"/>
              <w:ind w:left="539"/>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vMerge w:val="restart"/>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9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80" w:type="dxa"/>
            <w:vAlign w:val="bottom"/>
          </w:tcPr>
          <w:p>
            <w:pPr>
              <w:spacing w:after="0"/>
              <w:rPr>
                <w:sz w:val="10"/>
                <w:szCs w:val="10"/>
                <w:color w:val="auto"/>
              </w:rPr>
            </w:pPr>
          </w:p>
        </w:tc>
        <w:tc>
          <w:tcPr>
            <w:tcW w:w="1480" w:type="dxa"/>
            <w:vAlign w:val="bottom"/>
          </w:tcPr>
          <w:p>
            <w:pPr>
              <w:jc w:val="center"/>
              <w:ind w:left="659"/>
              <w:spacing w:after="0" w:line="124"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Pr>
          <w:p>
            <w:pPr>
              <w:jc w:val="right"/>
              <w:ind w:right="599"/>
              <w:spacing w:after="0"/>
              <w:rPr>
                <w:sz w:val="20"/>
                <w:szCs w:val="20"/>
                <w:color w:val="auto"/>
              </w:rPr>
            </w:pPr>
            <w:r>
              <w:rPr>
                <w:rFonts w:ascii="Times New Roman" w:cs="Times New Roman" w:eastAsia="Times New Roman" w:hAnsi="Times New Roman"/>
                <w:sz w:val="18"/>
                <w:szCs w:val="18"/>
                <w:color w:val="auto"/>
              </w:rPr>
              <w:t>(25,598)</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(54,046)</w:t>
            </w:r>
          </w:p>
        </w:tc>
        <w:tc>
          <w:tcPr>
            <w:tcW w:w="0" w:type="dxa"/>
            <w:vAlign w:val="bottom"/>
          </w:tcPr>
          <w:p>
            <w:pPr>
              <w:spacing w:after="0"/>
              <w:rPr>
                <w:sz w:val="1"/>
                <w:szCs w:val="1"/>
                <w:color w:val="auto"/>
              </w:rPr>
            </w:pPr>
          </w:p>
        </w:tc>
      </w:tr>
      <w:tr>
        <w:trPr>
          <w:trHeight w:val="216"/>
        </w:trPr>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Pr>
          <w:p>
            <w:pPr>
              <w:jc w:val="right"/>
              <w:ind w:right="599"/>
              <w:spacing w:after="0"/>
              <w:rPr>
                <w:sz w:val="20"/>
                <w:szCs w:val="20"/>
                <w:color w:val="auto"/>
              </w:rPr>
            </w:pPr>
            <w:r>
              <w:rPr>
                <w:rFonts w:ascii="Times New Roman" w:cs="Times New Roman" w:eastAsia="Times New Roman" w:hAnsi="Times New Roman"/>
                <w:sz w:val="18"/>
                <w:szCs w:val="18"/>
                <w:color w:val="auto"/>
              </w:rPr>
              <w:t>(5.92)</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(13.71)</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480" w:type="dxa"/>
            <w:vAlign w:val="bottom"/>
          </w:tcPr>
          <w:p>
            <w:pPr>
              <w:jc w:val="right"/>
              <w:ind w:right="659"/>
              <w:spacing w:after="0"/>
              <w:rPr>
                <w:sz w:val="20"/>
                <w:szCs w:val="20"/>
                <w:color w:val="auto"/>
              </w:rPr>
            </w:pPr>
            <w:r>
              <w:rPr>
                <w:rFonts w:ascii="Times New Roman" w:cs="Times New Roman" w:eastAsia="Times New Roman" w:hAnsi="Times New Roman"/>
                <w:sz w:val="18"/>
                <w:szCs w:val="18"/>
                <w:color w:val="auto"/>
                <w:w w:val="99"/>
              </w:rPr>
              <w:t>4,323,617</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3,942,747</w:t>
            </w: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1480" w:type="dxa"/>
            <w:vAlign w:val="bottom"/>
          </w:tcPr>
          <w:p>
            <w:pPr>
              <w:jc w:val="right"/>
              <w:ind w:right="659"/>
              <w:spacing w:after="0"/>
              <w:rPr>
                <w:sz w:val="20"/>
                <w:szCs w:val="20"/>
                <w:color w:val="auto"/>
              </w:rPr>
            </w:pPr>
            <w:r>
              <w:rPr>
                <w:rFonts w:ascii="Times New Roman" w:cs="Times New Roman" w:eastAsia="Times New Roman" w:hAnsi="Times New Roman"/>
                <w:sz w:val="18"/>
                <w:szCs w:val="18"/>
                <w:color w:val="auto"/>
                <w:w w:val="99"/>
              </w:rPr>
              <w:t>4,329,945</w:t>
            </w:r>
          </w:p>
        </w:tc>
        <w:tc>
          <w:tcPr>
            <w:tcW w:w="10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4,311,274</w:t>
            </w:r>
          </w:p>
        </w:tc>
        <w:tc>
          <w:tcPr>
            <w:tcW w:w="0" w:type="dxa"/>
            <w:vAlign w:val="bottom"/>
          </w:tcPr>
          <w:p>
            <w:pPr>
              <w:spacing w:after="0"/>
              <w:rPr>
                <w:sz w:val="1"/>
                <w:szCs w:val="1"/>
                <w:color w:val="auto"/>
              </w:rPr>
            </w:pPr>
          </w:p>
        </w:tc>
      </w:tr>
    </w:tbl>
    <w:p>
      <w:pPr>
        <w:sectPr>
          <w:pgSz w:w="11900" w:h="16838" w:orient="portrait"/>
          <w:cols w:equalWidth="0" w:num="2">
            <w:col w:w="6600" w:space="720"/>
            <w:col w:w="2819"/>
          </w:cols>
          <w:pgMar w:left="320" w:top="455" w:right="1440"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Unless otherwise described in the applicable prospectus supplement, we intend to use the net proceeds from the sale of any securities described in this prospectus for general corporate purposes, which may include research and development and preclinical and clinical development costs to support the advancement of our product candidates; working capital; capital expenditures; general and administrative expenses; and other general corporate purposes.</w:t>
      </w:r>
    </w:p>
    <w:p>
      <w:pPr>
        <w:spacing w:after="0" w:line="180"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We may set forth additional information concerning our expected use of net proceeds from sales of securities in the applicable prospectus supplement relating to the specific offering. Pending use of net proceeds as described above, we may temporarily invest the net proceeds in a variety of capital preservation instruments, including high quality, investment grade instruments, certificates of deposit or direct or guaranteed obligations of the U.S. government, or may hold such proceeds as cash, until they are used for their stated purpose. We have not determined the amount of net proceeds to be used specifically for such purposes. As a result, management will retain broad discretion over the allocation of net proceeds.</w:t>
      </w:r>
    </w:p>
    <w:p>
      <w:pPr>
        <w:spacing w:after="0" w:line="11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20"/>
          </w:cols>
          <w:pgMar w:left="320" w:top="455" w:right="6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and do not anticipate paying any cash dividends in the foreseeable future. Payment of cash dividends, if any, in the future will solely be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112"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760"/>
          </w:cols>
          <w:pgMar w:left="320" w:top="455" w:right="8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GENERAL DESCRIPTION OF SECURITIES</w:t>
      </w:r>
    </w:p>
    <w:p>
      <w:pPr>
        <w:spacing w:after="0" w:line="22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may offer shares of common or preferred stock, various series of senior or subordinated debt securities, warrants, or units consisting of combinations of the foregoing, in each case from time to time under this prospectus, together with the applicable prospectus supplement, at prices and on terms to be determined by market conditions at the time of offering. This prospectus provides you with a general description of the securities we may offer. At the time we offer a particular type or series of securities, we will provide an applicable prospectus supplement describing the specific amounts, prices and other important terms of the securities, including, to the extent applicable:</w:t>
      </w:r>
    </w:p>
    <w:p>
      <w:pPr>
        <w:spacing w:after="0" w:line="89" w:lineRule="exact"/>
        <w:rPr>
          <w:sz w:val="20"/>
          <w:szCs w:val="20"/>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designation or classification;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principal amount or aggregate offering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or other rights;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rates and times of payment of interest, dividends or other payments;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liquidation preference;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original issue discount;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restrictive covenants;</w:t>
      </w:r>
    </w:p>
    <w:p>
      <w:pPr>
        <w:spacing w:after="0" w:line="130" w:lineRule="exact"/>
        <w:rPr>
          <w:rFonts w:ascii="Times New Roman" w:cs="Times New Roman" w:eastAsia="Times New Roman" w:hAnsi="Times New Roman"/>
          <w:sz w:val="18"/>
          <w:szCs w:val="18"/>
          <w:color w:val="auto"/>
        </w:rPr>
      </w:pPr>
    </w:p>
    <w:p>
      <w:pPr>
        <w:jc w:val="both"/>
        <w:ind w:left="1080" w:right="12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conversion, exercise, exchange, settlement or sinking fund terms, including prices or rates, and any provisions for changes to or adjustments in such prices or rates and in the securities or other property receivable upon conversion, exercise, exchange or settlement;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 or market listing arrangements;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important U.S. federal income tax considerations.</w:t>
      </w:r>
    </w:p>
    <w:p>
      <w:pPr>
        <w:spacing w:after="0" w:line="225" w:lineRule="exact"/>
        <w:rPr>
          <w:sz w:val="20"/>
          <w:szCs w:val="20"/>
          <w:color w:val="auto"/>
        </w:rPr>
      </w:pPr>
    </w:p>
    <w:p>
      <w:pPr>
        <w:jc w:val="both"/>
        <w:ind w:left="120" w:right="460"/>
        <w:spacing w:after="0" w:line="266" w:lineRule="auto"/>
        <w:rPr>
          <w:sz w:val="20"/>
          <w:szCs w:val="20"/>
          <w:color w:val="auto"/>
        </w:rPr>
      </w:pPr>
      <w:r>
        <w:rPr>
          <w:rFonts w:ascii="Times New Roman" w:cs="Times New Roman" w:eastAsia="Times New Roman" w:hAnsi="Times New Roman"/>
          <w:sz w:val="18"/>
          <w:szCs w:val="18"/>
          <w:color w:val="auto"/>
        </w:rPr>
        <w:t>This prospectus may not be used to offer or sell securities unless accompanied by an applicable prospectus supplement. The applicable prospectus supplement may add, update or change information contained in this prospectus or in documents incorporated by reference in this prospectus. You should read the applicable prospectus supplement related to any securities being offered.</w:t>
      </w:r>
    </w:p>
    <w:p>
      <w:pPr>
        <w:spacing w:after="0" w:line="176"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We may sell the securities to or through underwriters, dealers or agents, directly to purchasers or through a combination of any of these methods of sale or as otherwise set forth under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We and our underwriters, dealers or agents reserve the right to accept or reject all or part of any proposed purchase of securities. If we do offer securities through underwriters or agents, we will include in the applicable prospectus supplement (i) the names of the underwriters or agents and applicable fees, discounts and commissions to be paid to them; (ii) details regarding over-allotment options, if any; and (iii) net proceeds to us.</w:t>
      </w:r>
    </w:p>
    <w:p>
      <w:pPr>
        <w:spacing w:after="0" w:line="183"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following descriptions are not complete and may not contain all the information you should consider before investing in any securities we may offer hereunder; they are summarized from, and qualified by reference to, our amended and restated certificate of incorporation, amended and restated bylaws and the other documents referred to in the descriptions, all of which are or will be publicly filed with the SEC, as applicable. See “</w:t>
      </w:r>
      <w:r>
        <w:rPr>
          <w:rFonts w:ascii="Times New Roman" w:cs="Times New Roman" w:eastAsia="Times New Roman" w:hAnsi="Times New Roman"/>
          <w:sz w:val="18"/>
          <w:szCs w:val="18"/>
          <w:i w:val="1"/>
          <w:iCs w:val="1"/>
          <w:color w:val="auto"/>
        </w:rPr>
        <w:t>Where You Can Find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More Information</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55" w:right="4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The following summary description of our common stock and preferred stock, together with the additional information we include in any applicable prospectus supplements, summarizes the material terms and provisions of our capital stock. The following description of our capital stock is intended as a summary only, does not purport to be complete and is subject to, and qualified in its entirety by, our amended and restated certificate of incorporation and amended and restated bylaws, which are exhibits to the registration statement of which this prospectus forms a part, and by applicable law. The terms of our common stock and preferred stock may also be affected by Delaware law.</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Authorized Capital Stock</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Our authorized capital stock consists of 100,000,000 shares of common stock, par value $0.0001 per share, and 10,000,000 shares of preferred stock, par value $0.0001 per share, all of which preferred stock is undesignated. As of September 30, 2023, we had estimated 24,139,078 shares of our common stock outstanding and no shares of preferred stock outstanding. Unless our board of directors determines otherwise, we will issue all shares of our capital stock in uncertificated form.</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The holders of our common stock are entitled to one vote for each share held on all matters submitted to a vote of the stockholders. The holders of our common stock do not have any cumulative voting rights. Holders of our common stock are entitled to receive ratably any dividends declared by our board of directors out of funds legally available for that purpose, subject to any preferential dividend rights of any outstanding preferred stock. Our common stock has no preemptive rights, conversion rights or other subscription rights or redemption or sinking fund provisions.</w:t>
      </w:r>
    </w:p>
    <w:p>
      <w:pPr>
        <w:spacing w:after="0" w:line="180" w:lineRule="exact"/>
        <w:rPr>
          <w:sz w:val="20"/>
          <w:szCs w:val="20"/>
          <w:color w:val="auto"/>
        </w:rPr>
      </w:pPr>
    </w:p>
    <w:p>
      <w:pPr>
        <w:jc w:val="both"/>
        <w:ind w:left="120" w:right="380"/>
        <w:spacing w:after="0" w:line="266" w:lineRule="auto"/>
        <w:rPr>
          <w:sz w:val="20"/>
          <w:szCs w:val="20"/>
          <w:color w:val="auto"/>
        </w:rPr>
      </w:pPr>
      <w:r>
        <w:rPr>
          <w:rFonts w:ascii="Times New Roman" w:cs="Times New Roman" w:eastAsia="Times New Roman" w:hAnsi="Times New Roman"/>
          <w:sz w:val="18"/>
          <w:szCs w:val="18"/>
          <w:color w:val="auto"/>
        </w:rPr>
        <w:t>In the event of our liquidation, dissolution or winding up, holders of our common stock will be entitled to share ratably in all assets remaining after payment of all debts and other liabilities and any liquidation preference of any outstanding preferred stock. When we issue shares of common stock under this prospectus, when issued and paid for, the shares will be validly issued, fully paid and non-assessable.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Exchange Listing</w:t>
      </w:r>
    </w:p>
    <w:p>
      <w:pPr>
        <w:spacing w:after="0" w:line="121" w:lineRule="exact"/>
        <w:rPr>
          <w:sz w:val="20"/>
          <w:szCs w:val="20"/>
          <w:color w:val="auto"/>
        </w:rPr>
      </w:pPr>
    </w:p>
    <w:p>
      <w:pPr>
        <w:jc w:val="both"/>
        <w:ind w:left="120" w:right="40"/>
        <w:spacing w:after="0" w:line="312" w:lineRule="auto"/>
        <w:rPr>
          <w:sz w:val="20"/>
          <w:szCs w:val="20"/>
          <w:color w:val="auto"/>
        </w:rPr>
      </w:pPr>
      <w:r>
        <w:rPr>
          <w:rFonts w:ascii="Times New Roman" w:cs="Times New Roman" w:eastAsia="Times New Roman" w:hAnsi="Times New Roman"/>
          <w:sz w:val="17"/>
          <w:szCs w:val="17"/>
          <w:color w:val="auto"/>
        </w:rPr>
        <w:t>Our common stock is listed on The Nasdaq Global Market under the symbol “IRON.” On November 16, 2023, the closing price for our common stock, as reported on The Nasdaq Global Market, was $48.36 per share. As of September 30, 2023, we had estimated approximately 36 stockholders of record.</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Transfer Agent and Registrar</w:t>
      </w:r>
    </w:p>
    <w:p>
      <w:pPr>
        <w:spacing w:after="0" w:line="121"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our common stock is Broadridge Corporate Issuer Solutions, LLC. The transfer agent and registrar’s address is 51 Mercedes Way, Edgewood, NY 11717.</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Undesignated Preferred Stock</w:t>
      </w:r>
    </w:p>
    <w:p>
      <w:pPr>
        <w:spacing w:after="0" w:line="121" w:lineRule="exact"/>
        <w:rPr>
          <w:sz w:val="20"/>
          <w:szCs w:val="20"/>
          <w:color w:val="auto"/>
        </w:rPr>
      </w:pPr>
    </w:p>
    <w:p>
      <w:pPr>
        <w:ind w:left="120" w:right="220"/>
        <w:spacing w:after="0" w:line="258" w:lineRule="auto"/>
        <w:rPr>
          <w:sz w:val="20"/>
          <w:szCs w:val="20"/>
          <w:color w:val="auto"/>
        </w:rPr>
      </w:pPr>
      <w:r>
        <w:rPr>
          <w:rFonts w:ascii="Times New Roman" w:cs="Times New Roman" w:eastAsia="Times New Roman" w:hAnsi="Times New Roman"/>
          <w:sz w:val="18"/>
          <w:szCs w:val="18"/>
          <w:color w:val="auto"/>
        </w:rPr>
        <w:t>Our board of directors has the authority, without further action by our stockholders, to issue up to 10,000,000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common stock. The issuance of our preferred stock could adversely affect the voting power of holders of common stock and the likelihood that</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55" w:right="4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such holders will receive dividend payments and payments upon our liquidation. In addition, the issuance of preferred stock could have the effect of delaying, deferring or preventing a change in control of our company or other corporate action. We have no shares of preferred stock outstanding, and we have no present plan to issue any shares of preferred stock.</w:t>
      </w:r>
    </w:p>
    <w:p>
      <w:pPr>
        <w:spacing w:after="0" w:line="176"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The purpose of authorizing our board of directors to issue preferred stock in one or more series and determine the number of shares in the series and its rights and preferences is to eliminate delays associated with a stockholder vote on specific issuances. Examples of rights and preferences that our board of directors may fix are:</w:t>
      </w:r>
    </w:p>
    <w:p>
      <w:pPr>
        <w:spacing w:after="0" w:line="81" w:lineRule="exact"/>
        <w:rPr>
          <w:sz w:val="20"/>
          <w:szCs w:val="20"/>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rights;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rates;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rights;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rights;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terms of redemption;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liquidation preferences.</w:t>
      </w:r>
    </w:p>
    <w:p>
      <w:pPr>
        <w:spacing w:after="0" w:line="225"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existence of authorized but unissued shares of undesignated preferred stock may enable our board of directors to render more difficult or to discourage an attempt to obtain control of us by means of a merger, tender offer, proxy contest or otherwise. For example, if in the due exercise of its fiduciary obligations, our board of directors were to determine that a takeover proposal is not in the best interests of us or our stockholders, our board of directors could cause shares of preferred stock to be issued without stockholder approval in one or more private offerings or other transactions that might dilute the voting or other rights of the proposed acquirer, stockholder or stockholder group. The rights of holders of our common stock described above, will be subject to, and may be adversely affected by, the rights of any preferred stock that we may designate and issue in the future. The issuance of shares of undesignated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Additional Series of Preferred Stock</w:t>
      </w:r>
    </w:p>
    <w:p>
      <w:pPr>
        <w:spacing w:after="0" w:line="121"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We will incorporate by reference as an exhibit to the registration statement, which includes this prospectus, the form of any certificate of designation that describes the terms of any additional series of preferred stock we may offer pursuant to this prospectus. This description and the applicable prospectus supplement will include:</w:t>
      </w:r>
    </w:p>
    <w:p>
      <w:pPr>
        <w:spacing w:after="0" w:line="81" w:lineRule="exact"/>
        <w:rPr>
          <w:sz w:val="20"/>
          <w:szCs w:val="20"/>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stated value;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authorized;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liquidation preference per share;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 period and payment date, and method of calculation for dividends;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dividends will be cumulative or non-cumulative and, if cumulative, the date from which dividends will accumulate;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for any auction and remarketing,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a sinking fund, if any;</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redemption or repurchase, if applicable, and any restrictions on our ability to exercise those redemption and repurchase rights;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listing of the preferred stock on any securities exchange or market;</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40"/>
          </w:cols>
          <w:pgMar w:left="320" w:top="455" w:right="4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80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stock will be convertible into our common stock, and, if applicable, the conversion price, or how it will be calculated, and the conversion period;</w:t>
      </w:r>
    </w:p>
    <w:p>
      <w:pPr>
        <w:spacing w:after="0" w:line="6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stock will be exchangeable into debt securities, and, if applicable, the exchange price, or how it will be calculated, and the exchange period;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rights, if any, of the preferred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preemptive rights,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transfer, sale or other assignment,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interests in the preferred stock will be represented by depositary shares;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material United States federal income tax considerations applicable to the preferred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ranking and preferences of the preferred stock as to dividend rights and rights if we liquidate, dissolve or wind up our affairs;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limitations on issuance of any class or series of preferred stock ranking senior to or on a parity with the series of preferred stock as to dividend rights and rights if we liquidate, dissolve or wind up our affairs;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preferred stock.</w:t>
      </w:r>
    </w:p>
    <w:p>
      <w:pPr>
        <w:spacing w:after="0" w:line="225"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When we issue shares of preferred stock under this prospectus, the shares will fully be paid and nonassessable and will not be subject to any preemptive or similar rights.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21"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The holders of approximately 7.5 million shares of our common stock, or their transferees, are entitled to the registration rights set forth below with respect to registration of the resale of such shares under the Securities Act pursuant to the investors’ rights agreement, by and among us and certain of our stockholders. Generally, in an underwritten offering, the managing underwriter, if any, has the right, subject to specified conditions and limitations, to limit the number of shares the holders may include.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2022 Registration Rights Agreement</w:t>
      </w:r>
    </w:p>
    <w:p>
      <w:pPr>
        <w:spacing w:after="0" w:line="121" w:lineRule="exact"/>
        <w:rPr>
          <w:sz w:val="20"/>
          <w:szCs w:val="20"/>
          <w:color w:val="auto"/>
        </w:rPr>
      </w:pPr>
    </w:p>
    <w:p>
      <w:pPr>
        <w:jc w:val="both"/>
        <w:ind w:left="120" w:right="620"/>
        <w:spacing w:after="0" w:line="266" w:lineRule="auto"/>
        <w:rPr>
          <w:sz w:val="20"/>
          <w:szCs w:val="20"/>
          <w:color w:val="auto"/>
        </w:rPr>
      </w:pPr>
      <w:r>
        <w:rPr>
          <w:rFonts w:ascii="Times New Roman" w:cs="Times New Roman" w:eastAsia="Times New Roman" w:hAnsi="Times New Roman"/>
          <w:sz w:val="18"/>
          <w:szCs w:val="18"/>
          <w:color w:val="auto"/>
        </w:rPr>
        <w:t>We are party to a registration rights agreement, or the 2022 Registration Rights Agreement, with certain holders of our capital stock, or the 2022 Investors, pursuant to which we (i) agreed to register for resale shares of our common stock issued to the 2022 Investors pursuant to the Merger Agreement, or the Registrable Securities, and (ii) granted certain other registration rights to the 2022 Investors.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particular, the 2022 Registration Rights Agreement provides for the following registration rights:</w:t>
      </w:r>
    </w:p>
    <w:p>
      <w:pPr>
        <w:spacing w:after="0" w:line="129" w:lineRule="exact"/>
        <w:rPr>
          <w:sz w:val="20"/>
          <w:szCs w:val="20"/>
          <w:color w:val="auto"/>
        </w:rPr>
      </w:pPr>
    </w:p>
    <w:p>
      <w:pPr>
        <w:ind w:left="1080" w:hanging="424"/>
        <w:spacing w:after="0" w:line="267"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Shelf registration rights</w:t>
      </w:r>
      <w:r>
        <w:rPr>
          <w:rFonts w:ascii="Times New Roman" w:cs="Times New Roman" w:eastAsia="Times New Roman" w:hAnsi="Times New Roman"/>
          <w:sz w:val="18"/>
          <w:szCs w:val="18"/>
          <w:color w:val="auto"/>
        </w:rPr>
        <w:t>. No later than 45 calendar days following the completion of the merger as contemplated by the Merger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were required to file with the SEC, a shelf registration statement registering the resale of the Registrable Securities, and use our commercially reasonable efforts to have such registration statement declared effective by the SEC as promptly as possible.</w:t>
      </w:r>
    </w:p>
    <w:p>
      <w:pPr>
        <w:spacing w:after="0" w:line="78" w:lineRule="exact"/>
        <w:rPr>
          <w:rFonts w:ascii="Times New Roman" w:cs="Times New Roman" w:eastAsia="Times New Roman" w:hAnsi="Times New Roman"/>
          <w:sz w:val="18"/>
          <w:szCs w:val="18"/>
          <w:color w:val="auto"/>
        </w:rPr>
      </w:pPr>
    </w:p>
    <w:p>
      <w:pPr>
        <w:ind w:left="1080" w:right="20" w:hanging="424"/>
        <w:spacing w:after="0" w:line="258"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Expenses and indemnification</w:t>
      </w:r>
      <w:r>
        <w:rPr>
          <w:rFonts w:ascii="Times New Roman" w:cs="Times New Roman" w:eastAsia="Times New Roman" w:hAnsi="Times New Roman"/>
          <w:sz w:val="18"/>
          <w:szCs w:val="18"/>
          <w:color w:val="auto"/>
        </w:rPr>
        <w:t>. The fees, costs and expenses of registrations pursuant to the registration rights granted to the 2022 Investors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the 2022 Registration Rights Agreement will be borne by us. The 2022 Registration Rights Agreement contains customary cross-indemnification provisions, under which we are obligated to indemnify holders of Registrable Securities in the event of material misstatements or omissions in the registration statement attributable to us, and holders of Registrable Securities are obligated to indemnify us for material misstatements or omissions attributable to them.</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55" w:right="4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2021 Registration Rights Agreement</w:t>
      </w:r>
    </w:p>
    <w:p>
      <w:pPr>
        <w:spacing w:after="0" w:line="121"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We are a party to a registration rights agreement, or the 2021 Registration Rights Agreement, pursuant to which, among other things, certain holders of capital stock, including certain investors of FS Development Corporation, a Delaware corporation, or the FSDC Investors, certain entities affiliated with Atlas Ventures, entities affiliated with Lightstone Ventures, OrbiMed Private Investments VI, LP, and Wu Capital Investment LLC, or collectively, the Major Investors and together with the FSDC Investors, the Investors, were granted certain registration rights with respect to Registrable Securities, as defined in the 2021 Registration Rights Agreement, held by them, subject to certain conditions and limitations.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particular, the 2021 Registration Rights Agreement provides for the following registration rights:</w:t>
      </w:r>
    </w:p>
    <w:p>
      <w:pPr>
        <w:spacing w:after="0" w:line="129" w:lineRule="exact"/>
        <w:rPr>
          <w:sz w:val="20"/>
          <w:szCs w:val="20"/>
          <w:color w:val="auto"/>
        </w:rPr>
      </w:pPr>
    </w:p>
    <w:p>
      <w:pPr>
        <w:ind w:left="1080" w:hanging="424"/>
        <w:spacing w:after="0" w:line="258"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Demand registration rights</w:t>
      </w:r>
      <w:r>
        <w:rPr>
          <w:rFonts w:ascii="Times New Roman" w:cs="Times New Roman" w:eastAsia="Times New Roman" w:hAnsi="Times New Roman"/>
          <w:sz w:val="18"/>
          <w:szCs w:val="18"/>
          <w:color w:val="auto"/>
        </w:rPr>
        <w:t>. We are required, upon the written request of either (i) FSDC Investors holding a majority of the Registrable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held by all FSDC Investors or (ii) Major Investors holding a majority of the Registrable Securities held by all Major Investors, to file a registration statement under the Securities Act on Form S-1 or any similar long-form registration statement or, if then available, on Form S-3, and use reasonable best efforts to effect the registration of all or part of their registrable securities requested to be included in such registration by the Investors.</w:t>
      </w:r>
    </w:p>
    <w:p>
      <w:pPr>
        <w:spacing w:after="0" w:line="88" w:lineRule="exact"/>
        <w:rPr>
          <w:rFonts w:ascii="Times New Roman" w:cs="Times New Roman" w:eastAsia="Times New Roman" w:hAnsi="Times New Roman"/>
          <w:sz w:val="18"/>
          <w:szCs w:val="18"/>
          <w:color w:val="auto"/>
        </w:rPr>
      </w:pPr>
    </w:p>
    <w:p>
      <w:pPr>
        <w:ind w:left="1080" w:right="60" w:hanging="424"/>
        <w:spacing w:after="0" w:line="261"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Shelf registration rights</w:t>
      </w:r>
      <w:r>
        <w:rPr>
          <w:rFonts w:ascii="Times New Roman" w:cs="Times New Roman" w:eastAsia="Times New Roman" w:hAnsi="Times New Roman"/>
          <w:sz w:val="18"/>
          <w:szCs w:val="18"/>
          <w:color w:val="auto"/>
        </w:rPr>
        <w:t>. A shelf registration statement pursuant to Rule 415 of Securities Act, was filed on February 17, 2021 and became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 on April 28, 2021. At any time we have an effective shelf registration statement, if we receive a request from Investors holding registrable securities with an estimated market value of at least $5,000,000, to effect an underwritten shelf takedown, we shall use our reasonable best efforts to as expeditiously as possible effect the underwritten shelf takedown.</w:t>
      </w:r>
    </w:p>
    <w:p>
      <w:pPr>
        <w:spacing w:after="0" w:line="85" w:lineRule="exact"/>
        <w:rPr>
          <w:rFonts w:ascii="Times New Roman" w:cs="Times New Roman" w:eastAsia="Times New Roman" w:hAnsi="Times New Roman"/>
          <w:sz w:val="18"/>
          <w:szCs w:val="18"/>
          <w:color w:val="auto"/>
        </w:rPr>
      </w:pPr>
    </w:p>
    <w:p>
      <w:pPr>
        <w:ind w:left="1080" w:right="240" w:hanging="424"/>
        <w:spacing w:after="0" w:line="257"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Limits on demand registration rights and shelf registration rights. </w:t>
      </w:r>
      <w:r>
        <w:rPr>
          <w:rFonts w:ascii="Times New Roman" w:cs="Times New Roman" w:eastAsia="Times New Roman" w:hAnsi="Times New Roman"/>
          <w:sz w:val="18"/>
          <w:szCs w:val="18"/>
          <w:color w:val="auto"/>
        </w:rPr>
        <w:t>We shall not be obligated to effect: (a) more than one (1) demand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registration or underwritten shelf takedown during any six-month period; (b) any demand registration at any time there is an effective resale shelf registration statement on file with the SEC; (c) more than two underwritten demand registrations in respect of all registrable securities held by the FSDC Investors, including those made under a shelf registration statement, or (d) more than two underwritten demand registrations in respect of all registrable securities held by the Major Investors, including those made under a shelf registration statement.</w:t>
      </w:r>
    </w:p>
    <w:p>
      <w:pPr>
        <w:spacing w:after="0" w:line="87" w:lineRule="exact"/>
        <w:rPr>
          <w:rFonts w:ascii="Times New Roman" w:cs="Times New Roman" w:eastAsia="Times New Roman" w:hAnsi="Times New Roman"/>
          <w:sz w:val="18"/>
          <w:szCs w:val="18"/>
          <w:color w:val="auto"/>
        </w:rPr>
      </w:pPr>
    </w:p>
    <w:p>
      <w:pPr>
        <w:ind w:left="1080" w:right="160" w:hanging="424"/>
        <w:spacing w:after="0" w:line="261"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Piggyback registration rights</w:t>
      </w:r>
      <w:r>
        <w:rPr>
          <w:rFonts w:ascii="Times New Roman" w:cs="Times New Roman" w:eastAsia="Times New Roman" w:hAnsi="Times New Roman"/>
          <w:sz w:val="18"/>
          <w:szCs w:val="18"/>
          <w:color w:val="auto"/>
        </w:rPr>
        <w:t>. At any time after the first anniversary of the closing date, if we propose to file a registration statement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register any of our equity securities under the Securities Act or to conduct a public offering, either for our own account or for the account of any other person, subject to certain exceptions, the Investors are entitled to include their registrable securities in such registration statement, subject to customary cut-back rights.</w:t>
      </w:r>
    </w:p>
    <w:p>
      <w:pPr>
        <w:spacing w:after="0" w:line="85" w:lineRule="exact"/>
        <w:rPr>
          <w:rFonts w:ascii="Times New Roman" w:cs="Times New Roman" w:eastAsia="Times New Roman" w:hAnsi="Times New Roman"/>
          <w:sz w:val="18"/>
          <w:szCs w:val="18"/>
          <w:color w:val="auto"/>
        </w:rPr>
      </w:pPr>
    </w:p>
    <w:p>
      <w:pPr>
        <w:ind w:left="1080" w:right="240" w:hanging="424"/>
        <w:spacing w:after="0" w:line="258"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Expenses and indemnification</w:t>
      </w:r>
      <w:r>
        <w:rPr>
          <w:rFonts w:ascii="Times New Roman" w:cs="Times New Roman" w:eastAsia="Times New Roman" w:hAnsi="Times New Roman"/>
          <w:sz w:val="18"/>
          <w:szCs w:val="18"/>
          <w:color w:val="auto"/>
        </w:rPr>
        <w:t>. All fees, costs and expenses of underwritten registrations will be borne by us and underwriting discounts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selling commissions will be borne by the holders of the shares being registered. The 2021 Registration Rights Agreement contains customary cross-indemnification provisions, under which we are obligated to indemnify holders of registrable securities in the event of material misstatements or omissions in the registration statement attributable to us, and holders of registrable securities are obligated to indemnify us for material misstatements or omissions attributable to them.</w:t>
      </w:r>
    </w:p>
    <w:p>
      <w:pPr>
        <w:spacing w:after="0" w:line="88" w:lineRule="exact"/>
        <w:rPr>
          <w:rFonts w:ascii="Times New Roman" w:cs="Times New Roman" w:eastAsia="Times New Roman" w:hAnsi="Times New Roman"/>
          <w:sz w:val="18"/>
          <w:szCs w:val="18"/>
          <w:color w:val="auto"/>
        </w:rPr>
      </w:pPr>
    </w:p>
    <w:p>
      <w:pPr>
        <w:ind w:left="1080" w:right="20" w:hanging="424"/>
        <w:spacing w:after="0" w:line="256"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Registrable securities</w:t>
      </w:r>
      <w:r>
        <w:rPr>
          <w:rFonts w:ascii="Times New Roman" w:cs="Times New Roman" w:eastAsia="Times New Roman" w:hAnsi="Times New Roman"/>
          <w:sz w:val="18"/>
          <w:szCs w:val="18"/>
          <w:color w:val="auto"/>
        </w:rPr>
        <w:t>. Securities of ours shall cease to be registrable securities upon the earlier of (i) tenth anniversary of February 5, 2021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(ii) the date as of which (1) a registration statement with respect to the sale of such securities shall have become effective under the Securities Act and such securities shall have been disposed of in accordance with such registration statement, or (2) such securities shall have been transferred pursuant to Rule 144 of the Securities Act, or with respect to any Investor, securities of such Investor shall cease to be registrable securities, on the earlier of (x) the date such Investor ceases to hold at least 1% of the registrable securities or (y) if such Investor is an individual and such Investor is a director or an executive officer of Disc or FS Development Corporation as of immediately prior to the consummation of the business combination, the date when</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55" w:right="4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right="380"/>
        <w:spacing w:after="0" w:line="282" w:lineRule="auto"/>
        <w:rPr>
          <w:sz w:val="20"/>
          <w:szCs w:val="20"/>
          <w:color w:val="auto"/>
        </w:rPr>
      </w:pPr>
      <w:r>
        <w:rPr>
          <w:rFonts w:ascii="Times New Roman" w:cs="Times New Roman" w:eastAsia="Times New Roman" w:hAnsi="Times New Roman"/>
          <w:sz w:val="18"/>
          <w:szCs w:val="18"/>
          <w:color w:val="auto"/>
        </w:rPr>
        <w:t>such Investor is permitted to sell the Registrable Securities under Rule 144 (or any similar provision) under the Securities Act without limitation on the amount of securities sold or the manner of sale.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Authorized but Unissued Capital Stock</w:t>
      </w:r>
    </w:p>
    <w:p>
      <w:pPr>
        <w:spacing w:after="0" w:line="121"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The Delaware General Corporation Law does not require stockholder approval for any issuance of authorized shares. However, the listing requirements of Nasdaq, which would apply so long as our common stock remains listed on Nasdaq, require stockholder approval of certain issuances equal to or exceeding 20% of the then outstanding voting power or then outstanding number of shares of common stock. These additional shares may be used for a variety of corporate purposes, including future public offerings, to raise additional capital or to facilitate acquisitions.</w:t>
      </w:r>
    </w:p>
    <w:p>
      <w:pPr>
        <w:spacing w:after="0" w:line="180"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One of the effects of the existence of unissued and unreserved common stock or preferred stock may be to enable our board of directors to issue shares to persons friendly to current management, which issuance could render more difficult or discourage an attempt to obtain control of our company by means of a merger, tender offer, proxy contest or otherwise, and thereby protect the continuity of our management and possibly deprive our stockholders of opportunities to sell their shares of common stock at prices higher than prevailing market prices.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Anti-Takeover Effects of our Amended and Restated Certificate of Incorporation and Amended and Restated Bylaws and Delaware Law</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Certain provisions of Delaware law and our amended and restated certificate of incorporation and our amended and restated bylaws contain provisions that could make the following transactions more difficult: acquisition of us by means of a tender offer; acquisition of us by means of a proxy contest or otherwise; or removal of our incumbent officers and directors. It is possible that these provisions could make it more difficult to accomplish or could deter transactions that stockholders may otherwise consider to be in their best interest or in our best interests, including transactions that might result in a premium over the market price for our shares.</w:t>
      </w:r>
    </w:p>
    <w:p>
      <w:pPr>
        <w:spacing w:after="0" w:line="183" w:lineRule="exact"/>
        <w:rPr>
          <w:sz w:val="20"/>
          <w:szCs w:val="20"/>
          <w:color w:val="auto"/>
        </w:rPr>
      </w:pPr>
    </w:p>
    <w:p>
      <w:pPr>
        <w:ind w:left="120" w:right="280"/>
        <w:spacing w:after="0" w:line="261" w:lineRule="auto"/>
        <w:rPr>
          <w:sz w:val="20"/>
          <w:szCs w:val="20"/>
          <w:color w:val="auto"/>
        </w:rPr>
      </w:pPr>
      <w:r>
        <w:rPr>
          <w:rFonts w:ascii="Times New Roman" w:cs="Times New Roman" w:eastAsia="Times New Roman" w:hAnsi="Times New Roman"/>
          <w:sz w:val="18"/>
          <w:szCs w:val="18"/>
          <w:color w:val="auto"/>
        </w:rPr>
        <w:t>These provisions, summarized below, are expected to discourage coercive takeover practices and inadequate takeover bids. These provisions are also designed to encourage persons seeking to acquire control of us to first negotiate with our board of directors. We believe that the benefits of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Delaware anti-takeover statute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are not governed by Section 203 of the Delaware General Corporation Law.</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Undesignated preferred stock</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ability to authorize undesignated preferred stock makes it possible for our board of directors to issue preferred stock with voting or other rights or preferences that could impede the success of any attempt to effect a change in control of our company. These and other provisions may have the effect of deterring hostile takeovers or delaying changes in control or management of our company.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Special stockholder meetings</w:t>
      </w:r>
    </w:p>
    <w:p>
      <w:pPr>
        <w:spacing w:after="0" w:line="121" w:lineRule="exact"/>
        <w:rPr>
          <w:sz w:val="20"/>
          <w:szCs w:val="20"/>
          <w:color w:val="auto"/>
        </w:rPr>
      </w:pPr>
    </w:p>
    <w:p>
      <w:pPr>
        <w:ind w:left="120" w:right="680"/>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a special meeting of stockholders may be called at any time by our board of directors, but such special meetings may not be called by the stockholders or any other person or persons.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55" w:right="4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Requirements for advance notification of stockholder nominations and proposals</w:t>
      </w:r>
    </w:p>
    <w:p>
      <w:pPr>
        <w:spacing w:after="0" w:line="121"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Our amended and restated bylaws contain advance notice procedures with respect to stockholder proposals and the nomination of candidates for election as directors, other than nominations made by or at the direction of our board of directors or a committee of our board of directors.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 stockholder action by written consent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amended and restated certificate of incorporation does not allow stockholders to act by written consent without a meeting.</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Classified board; election and removal of directors; filling vacancies</w:t>
      </w:r>
    </w:p>
    <w:p>
      <w:pPr>
        <w:spacing w:after="0" w:line="121"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Our board of directors is divided into three classes, divided as nearly as equal in number as possible. The directors in each class serve for a three-year term, one class being elected each year by our stockholders, with staggered three-year terms. Only one class of directors is elected at each annual meeting of our stockholders, with the other classes continuing for the remainder of their respective three-year terms. Because our stockholders do not have cumulative voting rights, our stockholders holding a majority of the shares of common stock outstanding will be able to elect all of our directors. Our amended and restated certificate of incorporation provides for the removal of any of our directors only for cause and requires a stockholder vote by the holders of at least 66-2/3% of the voting power of the then outstanding voting stock. Any vacancy on our board of directors, however occurring, including a vacancy resulting from an increase in the size of the board, may only be filled by a resolution of the board of directors.</w:t>
      </w:r>
    </w:p>
    <w:p>
      <w:pPr>
        <w:spacing w:after="0" w:line="189" w:lineRule="exact"/>
        <w:rPr>
          <w:sz w:val="20"/>
          <w:szCs w:val="20"/>
          <w:color w:val="auto"/>
        </w:rPr>
      </w:pPr>
    </w:p>
    <w:p>
      <w:pPr>
        <w:ind w:left="120" w:right="500"/>
        <w:spacing w:after="0" w:line="282" w:lineRule="auto"/>
        <w:rPr>
          <w:sz w:val="20"/>
          <w:szCs w:val="20"/>
          <w:color w:val="auto"/>
        </w:rPr>
      </w:pPr>
      <w:r>
        <w:rPr>
          <w:rFonts w:ascii="Times New Roman" w:cs="Times New Roman" w:eastAsia="Times New Roman" w:hAnsi="Times New Roman"/>
          <w:sz w:val="18"/>
          <w:szCs w:val="18"/>
          <w:color w:val="auto"/>
        </w:rPr>
        <w:t>This system of electing and removing directors and filling vacancies may tend to discourage a third party from making a tender offer or otherwise attempting to obtain control of us because it generally makes it more difficult for stockholders to replace a majority of the directors.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Choice of forum</w:t>
      </w:r>
    </w:p>
    <w:p>
      <w:pPr>
        <w:spacing w:after="0" w:line="121"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provide that, unless we consent in writing to the selection of an alternative forum, the Court of Chancery of the State of Delaware will be the exclusive forum for the following types of actions or proceedings under Delaware statutory or common law: any derivative action or proceeding brought on our behalf; any action asserting a claim of breach of fiduciary duty owed by any of our directors, officers, employees or stockholders to us or to our stockholders; any action asserting a claim against us arising pursuant to the Delaware General Corporation Law, our amended and restated certificate of incorporation or our amended and restated bylaws (as either may be amended from time to time); any action to interpret, apply, enforce or determine the validity of our amended and restated certificate of incorporation or our amended and restated bylaws; or any action asserting a claim against us that is governed by the internal affairs doctrine. As a result, any action brought by any of our stockholders with regard to any of these matters will need to be filed in the Court of Chancery of the State of Delaware and cannot be filed in any other jurisdiction; provided that, the exclusive forum provision will not apply to suits brought to enforce any liability or duty created by the Exchange Act or the Securities Act. In addition, unless we consent in writing to the selection of an alternative forum, the United States District Court for the District of Massachusetts will be the sole and exclusive forum for resolving any action asserting a claim arising under the Securities Act. Such provision is intended to benefit and may be enforced by us, our officers and directors, employees and agents, including the underwriters and any other professional or entity who has prepared or certified any part of this prospectus. Nothing in our amended and restated certificate of incorporation and amended and restated bylaws preclude stockholders that assert claims under the Exchange Act from bringing such claims in state or federal court, subject to applicable law.</w:t>
      </w:r>
    </w:p>
    <w:p>
      <w:pPr>
        <w:spacing w:after="0" w:line="196" w:lineRule="exact"/>
        <w:rPr>
          <w:sz w:val="20"/>
          <w:szCs w:val="20"/>
          <w:color w:val="auto"/>
        </w:rPr>
      </w:pPr>
    </w:p>
    <w:p>
      <w:pPr>
        <w:ind w:left="120" w:right="200"/>
        <w:spacing w:after="0" w:line="312" w:lineRule="auto"/>
        <w:rPr>
          <w:sz w:val="20"/>
          <w:szCs w:val="20"/>
          <w:color w:val="auto"/>
        </w:rPr>
      </w:pPr>
      <w:r>
        <w:rPr>
          <w:rFonts w:ascii="Times New Roman" w:cs="Times New Roman" w:eastAsia="Times New Roman" w:hAnsi="Times New Roman"/>
          <w:sz w:val="17"/>
          <w:szCs w:val="17"/>
          <w:color w:val="auto"/>
        </w:rPr>
        <w:t>Although our amended and restated certificate of incorporation and amended and restated bylaws contain the choice of forum provision described above, it is possible that a court could find that such a provision is inapplicable for a particular claim or action or that such provision is unenforceable.</w:t>
      </w:r>
    </w:p>
    <w:p>
      <w:pPr>
        <w:spacing w:after="0" w:line="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20"/>
          </w:cols>
          <w:pgMar w:left="320" w:top="455" w:right="4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This choice of forum provision may limit a stockholder’s ability to bring a claim in a judicial forum that it finds favorable for disputes with us or any of our directors, officers, other employees or stockholders, which may discourage lawsuits with respect to such claims or make such lawsuits more costly for stockholders, although our stockholders will not be deemed to have waived our compliance with federal securities laws and the rules and regulations thereunder.</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Amendment of charter provisions or bylaws</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Our amended and restated bylaws may be amended or repealed by our board of directors or by the affirmative vote of the holders of not less than two-thirds of the voting power of all of the shares of the capital stock of our Company entitled to vote on such amendment or repeal, voting as one class; provided, however, that if our board of directors recommends that stockholders approve such amendment or repeal, such amendment or repeal shall only require the affirmative vote of the majority of the outstanding shares of capital stock entitled to vote on such amendment or repeal, voting together as a single class. The affirmative vote of the holders of the majority of the outstanding shares of capital stock of our Company entitled to vote thereon as a class, and the affirmative vote of the holders of a majority of the outstanding shares of each class entitled to vote thereon as a class voting together as a single class, will be required to amend certain provisions of our amended and restated certificate of incorporation.</w:t>
      </w:r>
    </w:p>
    <w:p>
      <w:pPr>
        <w:spacing w:after="0" w:line="18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The provisions of the Delaware General Corporation Law, our amended and restated certificate of incorporation and our amended and restated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our management. It is possible that these provisions could make it more difficult to accomplish transactions that stockholders may otherwise deem to be in their best interests.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55" w:right="4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This section describes the general terms and provisions of our debt securities that we may issue from time to time. We may issue debt securities, in one or more series, as either senior or subordinated debt or as senior or subordinated convertible debt. While the terms we have summarized below will apply generally to any future debt securities we may offer under this prospectus, the applicable prospectus supplement or free writing prospectus will describe the specific terms of any debt securities offered through that prospectus supplement or free writing prospectus. The terms of any debt securities we offer under a prospectus supplement or free writing prospectus may differ from the terms we describe below. Unless the context requires otherwise, whenever we refer to the “indentures,” we also are referring to any supplemental indentures that specify the terms of a particular series of debt securities.</w:t>
      </w:r>
    </w:p>
    <w:p>
      <w:pPr>
        <w:spacing w:after="0" w:line="18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will issue any senior debt securities under the senior indenture that we will enter into with the trustee named in the senior indenture. We will issue any subordinated debt securities under the subordinated indenture that we will enter into with the trustee named in the subordinated indenture. We have filed forms of these documents as exhibits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183"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The indentures will be qualified under the Trust Indenture Act of 1939, as amended, or the Trust Indenture Act. We use the term “trustee” to refer to either the trustee under the senior indenture or the trustee under the subordinated indenture, as applicable.</w:t>
      </w:r>
    </w:p>
    <w:p>
      <w:pPr>
        <w:spacing w:after="0" w:line="162"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The following summaries of material provisions of the senior debt securities, the subordinated debt securities and the indentures are subject to, and qualified in their entirety by reference to, all of the provisions of the indenture applicable to a particular series of debt securities. We urge you to read the applicable prospectus supplement or free writing prospectus and any related free writing prospectuses related to the debt securities that we may offer under this prospectus, as well as the complete applicable indenture that contains the terms of the debt securities. Except as we may otherwise indicate, the terms of the senior indenture and the subordinated indenture are identical.</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will describe in the applicable prospectus supplement or free writing prospectus the terms of the series of debt securities being offered, including:</w:t>
      </w:r>
    </w:p>
    <w:p>
      <w:pPr>
        <w:spacing w:after="0" w:line="131" w:lineRule="exact"/>
        <w:rPr>
          <w:sz w:val="20"/>
          <w:szCs w:val="20"/>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being offered, and if a series, the total amount authorized and the total amount outstanding;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on the amount that may be issued;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we will issue the series of debt securities in global form, and, if so, the terms and who the depository will be;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under what circumstances, if any, we will pay additional amounts on any debt securities held by a person who is not a United States person for tax purposes, and whether we can redeem the debt securities if we have to pay such additional amounts;</w:t>
      </w:r>
    </w:p>
    <w:p>
      <w:pPr>
        <w:spacing w:after="0" w:line="6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interest rate, which may be fixed or variable, or the method for determining the rate and the date interest will begin to accrue, the dates interest will be payable and the regular record dates for interest payment dates or the method for determining such dates;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320" w:top="455" w:right="4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debt securities will be secured or unsecured, and the terms of any secured debt;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subordination of any series of subordinated debt;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where payments will be payable;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transfer, sale or other assignment,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if any, to defer payment of interest and the maximum length of any such deferral period;</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after which, the conditions upon which, and the price at which, we may, at our option, redeem the series of debt securities pursuant to any optional or provisional redemption provisions and the terms of those redemption provisions;</w:t>
      </w:r>
    </w:p>
    <w:p>
      <w:pPr>
        <w:spacing w:after="0" w:line="67" w:lineRule="exact"/>
        <w:rPr>
          <w:rFonts w:ascii="Times New Roman" w:cs="Times New Roman" w:eastAsia="Times New Roman" w:hAnsi="Times New Roman"/>
          <w:sz w:val="18"/>
          <w:szCs w:val="18"/>
          <w:color w:val="auto"/>
        </w:rPr>
      </w:pPr>
    </w:p>
    <w:p>
      <w:pPr>
        <w:jc w:val="both"/>
        <w:ind w:left="1080" w:hanging="424"/>
        <w:spacing w:after="0" w:line="266"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which, and the price at which we are obligated, pursuant to any mandatory sinking fund or analogous fund provisions or otherwise, to redeem, or at the holder’s option, to purchase, the series of debt securities and the currency or currency unit in which the debt securities are payable;</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indenture will restrict our ability to:</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additional securities;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make distributions in respect of our capital stock or the capital stock of our subsidiaries;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redeem capital stock;</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restrictions on our subsidiaries’ ability to pay dividends, make distributions or transfer assets;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 or other restricted payments;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or otherwise dispose of assets;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sale-leaseback transactions;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transactions with stockholders or affiliates;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or sell stock of our subsidiaries;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a consolidation or merger;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indenture will require us to maintain any interest coverage, fixed charge, cash flow-based, asset-based or other financial ratios;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certain material or special United States federal income tax considerations applicable to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describing any book-entry features;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for a sinking fund purchase or other analogous fund,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applicability of the provisions in the indenture on discharge;</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are to be offered at a price such that they will be deemed to be offered at an “original issue discount” as defined in paragraph (a) of Section 1273 of the Internal Revenue Code of 1986, as amended;</w:t>
      </w:r>
    </w:p>
    <w:p>
      <w:pPr>
        <w:spacing w:after="0" w:line="67"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we will issue the series of debt securities, if other than denominations of $1,000 and any integral multiple thereof;</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00"/>
          </w:cols>
          <w:pgMar w:left="320" w:top="455" w:right="47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14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of payment of debt securities if other than U.S. dollars and the manner of determining the equivalent amount in U.S. dollars; and</w:t>
      </w:r>
    </w:p>
    <w:p>
      <w:pPr>
        <w:spacing w:after="0" w:line="67" w:lineRule="exact"/>
        <w:rPr>
          <w:rFonts w:ascii="Times New Roman" w:cs="Times New Roman" w:eastAsia="Times New Roman" w:hAnsi="Times New Roman"/>
          <w:sz w:val="18"/>
          <w:szCs w:val="18"/>
          <w:color w:val="auto"/>
        </w:rPr>
      </w:pPr>
    </w:p>
    <w:p>
      <w:pPr>
        <w:ind w:left="1080" w:right="220" w:hanging="424"/>
        <w:spacing w:after="0" w:line="266"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debt securities, including any additional events of default or covenants provided with respect to the debt securities, and any terms that may be required by us or advisable under applicable laws or regulations or advisable in connection with the marketing of the debt securities.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Conversion or Exchange Rights</w:t>
      </w:r>
    </w:p>
    <w:p>
      <w:pPr>
        <w:spacing w:after="0" w:line="121"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We will set forth in the applicable prospectus supplement or free writing prospectus the terms on which a series of debt securities may be convertible into or exchangeable for our common stock, our preferred stock or other securities (including securities of a third-party). We will include provisions as to whether conversion or exchange is mandatory, at the option of the holder or at our option. We may include provisions pursuant to which the number of shares of our common stock, our preferred stock or other securities (including securities of a third-party) that the holders of the series of debt securities receive would be subject to adjustment.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Consolidation, Merger or Sale</w:t>
      </w:r>
    </w:p>
    <w:p>
      <w:pPr>
        <w:spacing w:after="0" w:line="121"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auto"/>
        </w:rPr>
        <w:t>Unless we provide otherwise in the prospectus supplement or free writing prospectus applicable to a particular series of debt securities, the indentures will not contain any covenant that restricts our ability to merge or consolidate, or sell, convey, transfer or otherwise dispose of all or substantially all of our assets. However, any successor to or acquirer of such assets must assume all of our obligations under the indentures or the debt securities, as appropriate. If the debt securities are convertible into or exchangeable for other securities of ours or securities of other entities, the person with whom we consolidate or merge or to whom we sell all of our property must make provisions for the conversion of the debt securities into securities that the holders of the debt securities would have received if they had converted the debt securities before the consolidation, merger or sale.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 Under the Indenture</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Unless we provide otherwise in the prospectus supplement or free writing prospectus applicable to a particular series of debt securities, the following are events of default under the indentures with respect to any series of debt securities that we may issue:</w:t>
      </w:r>
    </w:p>
    <w:p>
      <w:pPr>
        <w:spacing w:after="0" w:line="67" w:lineRule="exact"/>
        <w:rPr>
          <w:sz w:val="20"/>
          <w:szCs w:val="20"/>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interest when due and payable and our failure continues for 90 days and the time for payment has not been extended;</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the principal, premium or sinking fund payment, if any, when due and payable at maturity, upon redemption or repurchase or otherwise, and the time for payment has not been extended;</w:t>
      </w:r>
    </w:p>
    <w:p>
      <w:pPr>
        <w:spacing w:after="0" w:line="67" w:lineRule="exact"/>
        <w:rPr>
          <w:rFonts w:ascii="Times New Roman" w:cs="Times New Roman" w:eastAsia="Times New Roman" w:hAnsi="Times New Roman"/>
          <w:sz w:val="18"/>
          <w:szCs w:val="18"/>
          <w:color w:val="auto"/>
        </w:rPr>
      </w:pPr>
    </w:p>
    <w:p>
      <w:pPr>
        <w:ind w:left="1080" w:right="240" w:hanging="424"/>
        <w:spacing w:after="0" w:line="266"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observe or perform any other covenant contained in the debt securities or the indentures, other than a covenant specifically relating to another series of debt securities, and our failure continues for 90 days after we receive notice from the trustee or holders of at least 25% in aggregate principal amount of the outstanding debt securities of the applicable series; and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specified events of bankruptcy, insolvency or reorganization occur.</w:t>
      </w:r>
    </w:p>
    <w:p>
      <w:pPr>
        <w:spacing w:after="0" w:line="225"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We will describe in each applicable prospectus supplement or free writing prospectus any additional events of default relating to the relevant series of debt securities.</w:t>
      </w:r>
    </w:p>
    <w:p>
      <w:pPr>
        <w:spacing w:after="0" w:line="162"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premium, if any, and accrued interest, if any, due and payable immediately. If an event of default specified in the last bullet point above occurs with respect to us, the</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20"/>
          </w:cols>
          <w:pgMar w:left="320" w:top="455" w:right="4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unpaid principal, premium, if any, and accrued interest, if any, of each issue of debt securities then outstanding shall be due and payable without any notice or other action on the part of the trustee or any holder.</w:t>
      </w:r>
    </w:p>
    <w:p>
      <w:pPr>
        <w:spacing w:after="0" w:line="162" w:lineRule="exact"/>
        <w:rPr>
          <w:sz w:val="20"/>
          <w:szCs w:val="20"/>
          <w:color w:val="auto"/>
        </w:rPr>
      </w:pPr>
    </w:p>
    <w:p>
      <w:pPr>
        <w:jc w:val="both"/>
        <w:ind w:left="120" w:right="300"/>
        <w:spacing w:after="0" w:line="266" w:lineRule="auto"/>
        <w:rPr>
          <w:sz w:val="20"/>
          <w:szCs w:val="20"/>
          <w:color w:val="auto"/>
        </w:rPr>
      </w:pPr>
      <w:r>
        <w:rPr>
          <w:rFonts w:ascii="Times New Roman" w:cs="Times New Roman" w:eastAsia="Times New Roman" w:hAnsi="Times New Roman"/>
          <w:sz w:val="18"/>
          <w:szCs w:val="18"/>
          <w:color w:val="auto"/>
        </w:rPr>
        <w:t>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waiver shall cure the default or event of default.</w:t>
      </w:r>
    </w:p>
    <w:p>
      <w:pPr>
        <w:spacing w:after="0" w:line="176"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Subject to the terms of the indentures,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or security satisfactory to it against any loss, liability or expense.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w:t>
      </w:r>
    </w:p>
    <w:p>
      <w:pPr>
        <w:spacing w:after="0" w:line="93" w:lineRule="exact"/>
        <w:rPr>
          <w:sz w:val="20"/>
          <w:szCs w:val="20"/>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direction so given by the holder is not in conflict with any law or the applicable indenture; and</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its duties under the Trust Indenture Act, the trustee need not take any action that might involve it in personal liability or might be unduly prejudicial to the holders not involved in the proceeding.</w:t>
      </w:r>
    </w:p>
    <w:p>
      <w:pPr>
        <w:spacing w:after="0" w:line="162"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A holder of the debt securities of any series will have the right to institute a proceeding under the indentures or to appoint a receiver or trustee, or to seek other remedies if:</w:t>
      </w:r>
    </w:p>
    <w:p>
      <w:pPr>
        <w:spacing w:after="0" w:line="67" w:lineRule="exact"/>
        <w:rPr>
          <w:sz w:val="20"/>
          <w:szCs w:val="20"/>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has given written notice to the trustee of a continuing event of default with respect to that series;</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66"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aggregate principal amount of the outstanding debt securities of that series have made written request, and such holders have offered reasonable indemnity to the trustee or security satisfactory to it against any loss, liability or expense or to be incurred in compliance with instituting the proceeding as trustee; and</w:t>
      </w:r>
    </w:p>
    <w:p>
      <w:pPr>
        <w:spacing w:after="0" w:line="81"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does not institute the proceeding, and does not receive from the holders of a majority in aggregate principal amount of the outstanding debt securities of that series other conflicting directions within 90 days after the notice, request and offer.</w:t>
      </w:r>
    </w:p>
    <w:p>
      <w:pPr>
        <w:spacing w:after="0" w:line="162"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These limitations do not apply to a suit instituted by a holder of debt securities if we default in the payment of the principal, premium, if any, or interest on, the debt securities, or other defaults that may be specified in the applicable prospectus supplement or free writing prospectus.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will periodically file statements with the trustee regarding our compliance with specified covenants in the indentures.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Modification of Indenture; Waiver</w:t>
      </w:r>
    </w:p>
    <w:p>
      <w:pPr>
        <w:spacing w:after="0" w:line="121"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Subject to the terms of the indenture for any series of debt securities that we may issue, we and the trustee may change an indenture without the consent of any holders with respect to the following specific matters:</w:t>
      </w:r>
    </w:p>
    <w:p>
      <w:pPr>
        <w:spacing w:after="0" w:line="67" w:lineRule="exact"/>
        <w:rPr>
          <w:sz w:val="20"/>
          <w:szCs w:val="20"/>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fix any ambiguity, defect or inconsistency in the indenture;</w:t>
      </w:r>
    </w:p>
    <w:p>
      <w:pPr>
        <w:spacing w:after="0" w:line="12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provisions described above under “</w:t>
      </w:r>
      <w:r>
        <w:rPr>
          <w:rFonts w:ascii="Times New Roman" w:cs="Times New Roman" w:eastAsia="Times New Roman" w:hAnsi="Times New Roman"/>
          <w:sz w:val="18"/>
          <w:szCs w:val="18"/>
          <w:i w:val="1"/>
          <w:iCs w:val="1"/>
          <w:color w:val="auto"/>
        </w:rPr>
        <w:t>Description of Debt Securities-Consolidation, Merger or Sale</w:t>
      </w:r>
      <w:r>
        <w:rPr>
          <w:rFonts w:ascii="Times New Roman" w:cs="Times New Roman" w:eastAsia="Times New Roman" w:hAnsi="Times New Roman"/>
          <w:sz w:val="18"/>
          <w:szCs w:val="18"/>
          <w:color w:val="auto"/>
        </w:rPr>
        <w:t>;”</w:t>
      </w:r>
    </w:p>
    <w:p>
      <w:pPr>
        <w:spacing w:after="0" w:line="132"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any requirements of the SEC in connection with the qualification of any indenture under the Trust Indenture Act;</w:t>
      </w:r>
    </w:p>
    <w:p>
      <w:pPr>
        <w:spacing w:after="0" w:line="157"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w:t>
      </w:r>
    </w:p>
    <w:p>
      <w:pPr>
        <w:sectPr>
          <w:pgSz w:w="11900" w:h="16838" w:orient="portrait"/>
          <w:cols w:equalWidth="0" w:num="1">
            <w:col w:w="11120"/>
          </w:cols>
          <w:pgMar w:left="320" w:top="455" w:right="4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760" w:hanging="424"/>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delete from or revise the conditions, limitations, and restrictions on the authorized amount, terms, or purposes of issue, authentication and delivery of debt securities, as set forth in the indenture;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the debt securities of any series as provided under</w:t>
      </w:r>
    </w:p>
    <w:p>
      <w:pPr>
        <w:spacing w:after="0" w:line="27" w:lineRule="exact"/>
        <w:rPr>
          <w:rFonts w:ascii="Times New Roman" w:cs="Times New Roman" w:eastAsia="Times New Roman" w:hAnsi="Times New Roman"/>
          <w:sz w:val="18"/>
          <w:szCs w:val="18"/>
          <w:color w:val="auto"/>
        </w:rPr>
      </w:pPr>
    </w:p>
    <w:p>
      <w:pPr>
        <w:ind w:left="1080" w:right="20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Description of Debt Securities-General</w:t>
      </w:r>
      <w:r>
        <w:rPr>
          <w:rFonts w:ascii="Times New Roman" w:cs="Times New Roman" w:eastAsia="Times New Roman" w:hAnsi="Times New Roman"/>
          <w:sz w:val="18"/>
          <w:szCs w:val="18"/>
          <w:color w:val="auto"/>
        </w:rPr>
        <w:t>,” to establish the form of any certifications required to be furnished pursuant to the terms of the indenture or any series of debt securities, or to add to the rights of the holders of any series of debt securities;</w:t>
      </w:r>
    </w:p>
    <w:p>
      <w:pPr>
        <w:spacing w:after="0" w:line="86"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hereunder by a successor trustee;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debt securities and to make all appropriate changes for such purpose;</w:t>
      </w:r>
    </w:p>
    <w:p>
      <w:pPr>
        <w:spacing w:after="0" w:line="130" w:lineRule="exact"/>
        <w:rPr>
          <w:rFonts w:ascii="Times New Roman" w:cs="Times New Roman" w:eastAsia="Times New Roman" w:hAnsi="Times New Roman"/>
          <w:sz w:val="18"/>
          <w:szCs w:val="18"/>
          <w:color w:val="auto"/>
        </w:rPr>
      </w:pPr>
    </w:p>
    <w:p>
      <w:pPr>
        <w:jc w:val="both"/>
        <w:ind w:left="1080" w:right="40" w:hanging="424"/>
        <w:spacing w:after="0" w:line="266"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our covenants such new covenants, restrictions, conditions or provisions for the benefit of the holders, to make the occurrence, or the occurrence and the continuance, of a default in any such additional covenants, restrictions, conditions or provisions an event of default or to surrender any right or power conferred to us in the indenture; or</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change anything that does not materially adversely affect the interests of any holder of debt securities of any series.</w:t>
      </w:r>
    </w:p>
    <w:p>
      <w:pPr>
        <w:spacing w:after="0" w:line="225"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In addition, under the indentures, the rights of holders of a series of debt securities may be changed by us and the trustee with the written consent of the holders of at least a majority in aggregate principal amount of the outstanding debt securities of each series that is affected. However, subject to the terms of the indenture for any series of debt securities that we may issue or as otherwise provided in the prospectus supplement or free writing prospectus applicable to a particular series of debt securities, we and the trustee may make the following changes only with the consent of each holder of any outstanding debt securities affected:</w:t>
      </w:r>
    </w:p>
    <w:p>
      <w:pPr>
        <w:spacing w:after="0" w:line="89" w:lineRule="exact"/>
        <w:rPr>
          <w:sz w:val="20"/>
          <w:szCs w:val="20"/>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extending the stated maturity of the series of debt securities;</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principal amount, reducing the rate of or extending the time of payment of interest, or reducing any premium payable upon the redemption or repurchase of any debt securities; or</w:t>
      </w:r>
    </w:p>
    <w:p>
      <w:pPr>
        <w:spacing w:after="0" w:line="67"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percentage of debt securities, the holders of which are required to consent to any amendment, supplement, modification or waiver.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Discharge</w:t>
      </w:r>
    </w:p>
    <w:p>
      <w:pPr>
        <w:spacing w:after="0" w:line="121" w:lineRule="exact"/>
        <w:rPr>
          <w:sz w:val="20"/>
          <w:szCs w:val="20"/>
          <w:color w:val="auto"/>
        </w:rPr>
      </w:pPr>
    </w:p>
    <w:p>
      <w:pPr>
        <w:jc w:val="both"/>
        <w:ind w:left="120" w:right="260"/>
        <w:spacing w:after="0" w:line="266" w:lineRule="auto"/>
        <w:rPr>
          <w:sz w:val="20"/>
          <w:szCs w:val="20"/>
          <w:color w:val="auto"/>
        </w:rPr>
      </w:pPr>
      <w:r>
        <w:rPr>
          <w:rFonts w:ascii="Times New Roman" w:cs="Times New Roman" w:eastAsia="Times New Roman" w:hAnsi="Times New Roman"/>
          <w:sz w:val="18"/>
          <w:szCs w:val="18"/>
          <w:color w:val="auto"/>
        </w:rPr>
        <w:t>Each indenture provides that, subject to the terms of the indenture and any limitation otherwise provided in the prospectus supplement or free writing prospectus applicable to a particular series of debt securities, we can elect to be discharged from our obligations with respect to one or more series of debt securities, except for specified obligations, including obligations to:</w:t>
      </w:r>
    </w:p>
    <w:p>
      <w:pPr>
        <w:spacing w:after="0" w:line="81" w:lineRule="exact"/>
        <w:rPr>
          <w:sz w:val="20"/>
          <w:szCs w:val="20"/>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or exchange of debt securities of the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 stolen, lost or mutilated debt securities of the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paying agencies;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monies for payment in trust;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 excess money held by the trustee;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compensate and indemnify the trustee;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 any successor trustee.</w:t>
      </w:r>
    </w:p>
    <w:p>
      <w:pPr>
        <w:spacing w:after="0" w:line="225"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In order to exercise our rights to be discharged, we must deposit with the trustee money or government obligations sufficient to pay all the principal of, any premium and interest on, the debt securities of the series on the dates payments are due.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20"/>
          </w:cols>
          <w:pgMar w:left="320" w:top="455" w:right="4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Form, Exchange and Transfer</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We will issue the debt securities of each series only in fully registered form without coupons and, unless we otherwise specify in the applicable prospectus supplement or free writing prospectus, in denominations of $1,000 and any integral multiple thereof. The indentures provide that we may issue debt securities of a series in temporary or permanent global form and as book-entry securities that will be deposited with, or on behalf of, The Depository Trust Company or another depository named by us and identified in a prospectus supplement or free writing prospectus with respect to that series. At the option of the holder, subject to the terms of the indentures and the limitations applicable to global securities described in the applicable prospectus supplement or free writing prospectus, the holder of the debt securities of any series can exchange the debt securities for other debt securities of the same series, in any authorized denomination and of like tenor and aggregate principal amount.</w:t>
      </w:r>
    </w:p>
    <w:p>
      <w:pPr>
        <w:spacing w:after="0" w:line="189"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Subject to the terms of the indentures and the limitations applicable to global securities set forth in the applicable prospectus supplement or free writing prospectus,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make no service charge for any registration of transfer or exchange, but we may require payment of any taxes or other governmental charges.</w:t>
      </w:r>
    </w:p>
    <w:p>
      <w:pPr>
        <w:spacing w:after="0" w:line="183"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We will name in the applicable prospectus supplement or free writing prospectus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 If we elect to redeem the debt securities of any series, we will not be required to:</w:t>
      </w:r>
    </w:p>
    <w:p>
      <w:pPr>
        <w:spacing w:after="0" w:line="85" w:lineRule="exact"/>
        <w:rPr>
          <w:sz w:val="20"/>
          <w:szCs w:val="20"/>
          <w:color w:val="auto"/>
        </w:rPr>
      </w:pPr>
    </w:p>
    <w:p>
      <w:pPr>
        <w:jc w:val="both"/>
        <w:ind w:left="1080" w:right="220" w:hanging="424"/>
        <w:spacing w:after="0" w:line="266"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81"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of or exchange any debt securities so selected for redemption, in whole or in part, except the unredeemed portion of any debt securities we are redeeming in part.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Information Concerning the Trustee</w:t>
      </w:r>
    </w:p>
    <w:p>
      <w:pPr>
        <w:spacing w:after="0" w:line="121" w:lineRule="exact"/>
        <w:rPr>
          <w:sz w:val="20"/>
          <w:szCs w:val="20"/>
          <w:color w:val="auto"/>
        </w:rPr>
      </w:pPr>
    </w:p>
    <w:p>
      <w:pPr>
        <w:jc w:val="both"/>
        <w:ind w:left="120" w:right="100"/>
        <w:spacing w:after="0" w:line="266" w:lineRule="auto"/>
        <w:rPr>
          <w:sz w:val="20"/>
          <w:szCs w:val="20"/>
          <w:color w:val="auto"/>
        </w:rPr>
      </w:pPr>
      <w:r>
        <w:rPr>
          <w:rFonts w:ascii="Times New Roman" w:cs="Times New Roman" w:eastAsia="Times New Roman" w:hAnsi="Times New Roman"/>
          <w:sz w:val="18"/>
          <w:szCs w:val="18"/>
          <w:color w:val="auto"/>
        </w:rPr>
        <w:t>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w:t>
      </w:r>
    </w:p>
    <w:p>
      <w:pPr>
        <w:spacing w:after="0" w:line="176"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Subject to this provision, the trustee is under no obligation to exercise any of the powers given it by the indentures at the request of any holder of debt securities unless it is offered reasonable security and indemnity against the costs, expenses and liabilities that it might incur.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Payment and Paying Agents</w:t>
      </w:r>
    </w:p>
    <w:p>
      <w:pPr>
        <w:spacing w:after="0" w:line="121"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Unless we otherwise indicate in the applicable prospectus supplement or free writing prospectus,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80"/>
          </w:cols>
          <w:pgMar w:left="320" w:top="455" w:right="49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We will pay principal of and any premium and interest on the debt securities of a particular series at the office of the paying agents designated by us, except that unless we otherwise indicate in the applicable prospectus supplement or free writing prospectus, we will make interest payments by check that we will mail to the holder or by wire transfer to certain holders. Unless we otherwise indicate in the applicable prospectus supplement or free writing prospectus, we will designate the corporate trust office of the trustee as our sole paying agent for payments with respect to debt securities of each series. We will name in the applicable prospectus supplement or free writing prospectus any other paying agents that we initially designate for the debt securities of a particular series. We will maintain a paying agent in each place of payment for the debt securities of a particular series.</w:t>
      </w:r>
    </w:p>
    <w:p>
      <w:pPr>
        <w:spacing w:after="0" w:line="187"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The indentures and the debt securities will be governed by and construed in accordance with the laws of the State of New York, except to the extent that the Trust Indenture Act is applicable.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Ranking of Debt Securities</w:t>
      </w:r>
    </w:p>
    <w:p>
      <w:pPr>
        <w:spacing w:after="0" w:line="121" w:lineRule="exact"/>
        <w:rPr>
          <w:sz w:val="20"/>
          <w:szCs w:val="20"/>
          <w:color w:val="auto"/>
        </w:rPr>
      </w:pPr>
    </w:p>
    <w:p>
      <w:pPr>
        <w:jc w:val="both"/>
        <w:ind w:left="120" w:right="280"/>
        <w:spacing w:after="0" w:line="266" w:lineRule="auto"/>
        <w:rPr>
          <w:sz w:val="20"/>
          <w:szCs w:val="20"/>
          <w:color w:val="auto"/>
        </w:rPr>
      </w:pPr>
      <w:r>
        <w:rPr>
          <w:rFonts w:ascii="Times New Roman" w:cs="Times New Roman" w:eastAsia="Times New Roman" w:hAnsi="Times New Roman"/>
          <w:sz w:val="18"/>
          <w:szCs w:val="18"/>
          <w:color w:val="auto"/>
        </w:rPr>
        <w:t>The subordinated debt securities will be subordinate and junior in priority of payment to certain of our other indebtedness to the extent described in a prospectus supplement or free writing prospectus. The subordinated indenture does not limit the amount of subordinated debt securities that we may issue. It also does not limit us from issuing any other secured or unsecured debt.</w:t>
      </w:r>
    </w:p>
    <w:p>
      <w:pPr>
        <w:spacing w:after="0" w:line="176"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The senior debt securities will rank equally in right of payment to all our other senior unsecured debt. The senior indenture does not limit the amount of senior debt securities that we may issue. It also does not limit us from issuing any other secured or unsecured debt.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20"/>
          </w:cols>
          <w:pgMar w:left="320" w:top="455" w:right="4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may include in any applicable prospectus supplements, summarizes the material terms and provisions of the warrants that we may offer under this prospectus and the related warrant agreements and warrant certificates. While the terms summarized below will apply generally to any warrants that we may offer, we will describe the particular terms of any series of warrants in more detail in the applicable prospectus supplement. If we indicate in the prospectus supplement, the terms of any warrants offered under that prospectus supplement may differ from the terms described below. Specific warrant agreements will contain additional important terms and provisions and will be incorporated by reference as an exhibit to the registration statement, which includes this prospectus.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620"/>
        <w:spacing w:after="0" w:line="266" w:lineRule="auto"/>
        <w:rPr>
          <w:sz w:val="20"/>
          <w:szCs w:val="20"/>
          <w:color w:val="auto"/>
        </w:rPr>
      </w:pPr>
      <w:r>
        <w:rPr>
          <w:rFonts w:ascii="Times New Roman" w:cs="Times New Roman" w:eastAsia="Times New Roman" w:hAnsi="Times New Roman"/>
          <w:sz w:val="18"/>
          <w:szCs w:val="18"/>
          <w:color w:val="auto"/>
        </w:rPr>
        <w:t>We may issue warrants for the purchase of common stock, preferred stock and/or debt securities in one or more series. We may issue warrants independently or together with common stock, preferred stock and/or debt securities, and the warrants may be attached to or separate from these securities.</w:t>
      </w:r>
    </w:p>
    <w:p>
      <w:pPr>
        <w:spacing w:after="0" w:line="176" w:lineRule="exact"/>
        <w:rPr>
          <w:sz w:val="20"/>
          <w:szCs w:val="20"/>
          <w:color w:val="auto"/>
        </w:rPr>
      </w:pPr>
    </w:p>
    <w:p>
      <w:pPr>
        <w:ind w:left="120" w:right="280"/>
        <w:spacing w:after="0" w:line="266" w:lineRule="auto"/>
        <w:rPr>
          <w:sz w:val="20"/>
          <w:szCs w:val="20"/>
          <w:color w:val="auto"/>
        </w:rPr>
      </w:pPr>
      <w:r>
        <w:rPr>
          <w:rFonts w:ascii="Times New Roman" w:cs="Times New Roman" w:eastAsia="Times New Roman" w:hAnsi="Times New Roman"/>
          <w:sz w:val="18"/>
          <w:szCs w:val="18"/>
          <w:color w:val="auto"/>
        </w:rPr>
        <w:t>We will evidence each series of warrants by warrant certificates that we will issue under a separate warrant agreement. We will enter into the warrant agreement with a warrant agent. We will indicate the name and address of the warrant agent in the applicable prospectus supplement relating to a particular series of warrants.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will describe in the applicable prospectus supplement the terms of the series of warrants, including:</w:t>
      </w:r>
    </w:p>
    <w:p>
      <w:pPr>
        <w:spacing w:after="0" w:line="131" w:lineRule="exact"/>
        <w:rPr>
          <w:sz w:val="20"/>
          <w:szCs w:val="20"/>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 and aggregate number of warrants offered;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for which the warrants may be purchased;</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securities with which the warrants are issued and the number of warrants issued with each such security or each principal amount of such security;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on and after which the warrants and the related securities will be separately transferable;</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debt securities, the principal amount of debt securities purchasable upon exercise of one warrant and the price at, and currency in which, this principal amount of debt securities may be purchased upon such exercise;</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common stock or preferred stock, the number of shares of common stock or preferred stock, as the case may be, purchasable upon the exercise of one warrant and the price at which these shares may be purchased upon such exercise;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any merger, consolidation, sale or other disposition of our business on the warrant agreement and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rights to redeem or call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changes to or adjustments in the exercise price or number of securities issuable upon exercise of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periods during which, and places at which, the warrants are exercisable;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of exercise;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the right to exercise the warrants will commence and expire;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in which the warrant agreement and warrants may be modified;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income tax consequences of holding or exercising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securities issuable upon exercise of the warrants;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warrants.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20"/>
          </w:cols>
          <w:pgMar w:left="320" w:top="455" w:right="4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We may issue units comprised of shares of common stock, shares of preferred stock, debt securities and warrants in any combination. We may issue units in such amounts and in as many distinct series as we wish. This section outlines certain provisions of the units that we may issue. If we issue units, they will be issued under one or more unit agreements to be entered into between us and a bank or other financial institution, as unit agent. The information described in this section may not be complete in all respects and is qualified entirely by reference to the unit agreement with respect to the units of any particular series. The specific terms of any series of units offered will be described in the applicable prospectus supplement. If so described in a particular supplement, the specific terms of any series of units may differ from the general description of terms presented below. We urge you to read any prospectus supplement related to any series of units we may offer, as well as the complete unit agreement and unit certificate that contain the terms of the units. If we issue units, forms of unit agreements and unit certificates relating to such units will be incorporated by reference as exhibits to the registration statement, which includes this prospectus.</w:t>
      </w:r>
    </w:p>
    <w:p>
      <w:pPr>
        <w:spacing w:after="0" w:line="188"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Each unit that we may issue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 The applicable prospectus supplement may describe:</w:t>
      </w:r>
    </w:p>
    <w:p>
      <w:pPr>
        <w:spacing w:after="0" w:line="85" w:lineRule="exact"/>
        <w:rPr>
          <w:sz w:val="20"/>
          <w:szCs w:val="20"/>
          <w:color w:val="auto"/>
        </w:rPr>
      </w:pPr>
    </w:p>
    <w:p>
      <w:pPr>
        <w:ind w:left="1080" w:right="280" w:hanging="424"/>
        <w:spacing w:after="0" w:line="282"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units and of the securities comprising the units, including whether and under what circumstances those securities may be held or transferred separately;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of the governing unit agreement;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such units will be issued;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United States federal income tax considerations relating to the units;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the issuance, payment, settlement, transfer or exchange of the units or of the securities comprising the units;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units and of the securities comprising the units.</w:t>
      </w:r>
    </w:p>
    <w:p>
      <w:pPr>
        <w:spacing w:after="0" w:line="2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provisions described in this section, as well as those described under “</w:t>
      </w:r>
      <w:r>
        <w:rPr>
          <w:rFonts w:ascii="Times New Roman" w:cs="Times New Roman" w:eastAsia="Times New Roman" w:hAnsi="Times New Roman"/>
          <w:sz w:val="18"/>
          <w:szCs w:val="18"/>
          <w:i w:val="1"/>
          <w:iCs w:val="1"/>
          <w:color w:val="auto"/>
        </w:rPr>
        <w:t>Description of Capital Stock</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Description of Debt Securities”</w:t>
      </w:r>
      <w:r>
        <w:rPr>
          <w:rFonts w:ascii="Times New Roman" w:cs="Times New Roman" w:eastAsia="Times New Roman" w:hAnsi="Times New Roman"/>
          <w:sz w:val="18"/>
          <w:szCs w:val="18"/>
          <w:color w:val="auto"/>
        </w:rPr>
        <w:t xml:space="preserve"> and</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Description of Warrants</w:t>
      </w:r>
      <w:r>
        <w:rPr>
          <w:rFonts w:ascii="Times New Roman" w:cs="Times New Roman" w:eastAsia="Times New Roman" w:hAnsi="Times New Roman"/>
          <w:sz w:val="17"/>
          <w:szCs w:val="17"/>
          <w:color w:val="auto"/>
        </w:rPr>
        <w:t>” will apply to the securities included in each unit, to the extent relevant and as may be updated in any prospectus supplements.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Issuance in Series</w:t>
      </w:r>
    </w:p>
    <w:p>
      <w:pPr>
        <w:spacing w:after="0" w:line="121"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We may issue units in such amounts and in as many distinct series as we wish. This section summarizes terms of the units that apply generally to all series. Most of the financial and other specific terms of a particular series of units will be described in the applicable prospectus supplement.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Unit Agreements</w:t>
      </w:r>
    </w:p>
    <w:p>
      <w:pPr>
        <w:spacing w:after="0" w:line="121" w:lineRule="exact"/>
        <w:rPr>
          <w:sz w:val="20"/>
          <w:szCs w:val="20"/>
          <w:color w:val="auto"/>
        </w:rPr>
      </w:pPr>
    </w:p>
    <w:p>
      <w:pPr>
        <w:jc w:val="both"/>
        <w:ind w:left="120" w:right="100"/>
        <w:spacing w:after="0" w:line="266" w:lineRule="auto"/>
        <w:rPr>
          <w:sz w:val="20"/>
          <w:szCs w:val="20"/>
          <w:color w:val="auto"/>
        </w:rPr>
      </w:pPr>
      <w:r>
        <w:rPr>
          <w:rFonts w:ascii="Times New Roman" w:cs="Times New Roman" w:eastAsia="Times New Roman" w:hAnsi="Times New Roman"/>
          <w:sz w:val="18"/>
          <w:szCs w:val="18"/>
          <w:color w:val="auto"/>
        </w:rPr>
        <w:t>We will issue the units under one or more unit agreements to be entered into between us and a bank or other financial institution, as unit agent. We may add, replace or terminate unit agents from time to time. We will identify the unit agreement under which each series of units will be issued and the unit agent under that agreement in the applicable prospectus supplement.</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00"/>
          </w:cols>
          <w:pgMar w:left="320" w:top="455" w:right="47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provisions will generally apply to all unit agreements unless otherwise stated in the applicable prospectus supplement: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Modification without Consent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and the applicable unit agent may amend any unit or unit agreement without the consent of any holder:</w:t>
      </w:r>
    </w:p>
    <w:p>
      <w:pPr>
        <w:spacing w:after="0" w:line="131" w:lineRule="exact"/>
        <w:rPr>
          <w:sz w:val="20"/>
          <w:szCs w:val="20"/>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any provisions of the governing unit agreement that differ from those described below;</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correct or supplement any defective or inconsistent provision; or</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other change that we believe is necessary or desirable and will not adversely affect the interests of the affected holders in any material respect.</w:t>
      </w:r>
    </w:p>
    <w:p>
      <w:pPr>
        <w:spacing w:after="0" w:line="162"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We do not need any approval to make changes that affect only units to be issued after the changes take effect. We may also make changes that do not adversely affect a particular unit in any material respect, even if they adversely affect other units in a material respect. In those cases, we do not need to obtain the approval of the holder of the unaffected unit; we need only obtain any required approvals from the holders of the affected units.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Modification with Consent</w:t>
      </w:r>
    </w:p>
    <w:p>
      <w:pPr>
        <w:spacing w:after="0" w:line="121"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We may not amend any particular unit or a unit agreement with respect to any particular unit unless we obtain the consent of the holder of that unit, if the amendment would:</w:t>
      </w:r>
    </w:p>
    <w:p>
      <w:pPr>
        <w:spacing w:after="0" w:line="67" w:lineRule="exact"/>
        <w:rPr>
          <w:sz w:val="20"/>
          <w:szCs w:val="20"/>
          <w:color w:val="auto"/>
        </w:rPr>
      </w:pPr>
    </w:p>
    <w:p>
      <w:pPr>
        <w:ind w:left="1080" w:right="140" w:hanging="424"/>
        <w:spacing w:after="0" w:line="282"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any right of the holder to exercise or enforce any right under a security included in the unit if the terms of that security require the consent of the holder to any changes that would impair the exercise or enforcement of that right; or</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of outstanding units or any series or class the consent of whose holders is required to amend that series or class, or the applicable unit agreement with respect to that series or class, as described below.</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Any other change to a particular unit agreement and the units issued under that agreement would require the following approval:</w:t>
      </w:r>
    </w:p>
    <w:p>
      <w:pPr>
        <w:spacing w:after="0" w:line="131" w:lineRule="exact"/>
        <w:rPr>
          <w:sz w:val="20"/>
          <w:szCs w:val="20"/>
          <w:color w:val="auto"/>
        </w:rPr>
      </w:pPr>
    </w:p>
    <w:p>
      <w:pPr>
        <w:ind w:left="1080" w:right="360" w:hanging="424"/>
        <w:spacing w:after="0" w:line="282"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change affects only the units of a particular series issued under that agreement, the change must be approved by the holders of a majority of the outstanding units of that series; or</w:t>
      </w:r>
    </w:p>
    <w:p>
      <w:pPr>
        <w:spacing w:after="0" w:line="67" w:lineRule="exact"/>
        <w:rPr>
          <w:rFonts w:ascii="Times New Roman" w:cs="Times New Roman" w:eastAsia="Times New Roman" w:hAnsi="Times New Roman"/>
          <w:sz w:val="18"/>
          <w:szCs w:val="18"/>
          <w:color w:val="auto"/>
        </w:rPr>
      </w:pPr>
    </w:p>
    <w:p>
      <w:pPr>
        <w:jc w:val="both"/>
        <w:ind w:left="1080" w:right="120" w:hanging="424"/>
        <w:spacing w:after="0" w:line="312" w:lineRule="auto"/>
        <w:tabs>
          <w:tab w:leader="none" w:pos="108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change affects the units of more than one series issued under that agreement, it must be approved by the holders of a majority of all outstanding units of all series affected by the change, with the units of all the affected series voting together as one class for this purpose.</w:t>
      </w:r>
    </w:p>
    <w:p>
      <w:pPr>
        <w:spacing w:after="0" w:line="140" w:lineRule="exact"/>
        <w:rPr>
          <w:sz w:val="20"/>
          <w:szCs w:val="20"/>
          <w:color w:val="auto"/>
        </w:rPr>
      </w:pPr>
    </w:p>
    <w:p>
      <w:pPr>
        <w:ind w:left="120" w:right="680"/>
        <w:spacing w:after="0" w:line="282" w:lineRule="auto"/>
        <w:rPr>
          <w:sz w:val="20"/>
          <w:szCs w:val="20"/>
          <w:color w:val="auto"/>
        </w:rPr>
      </w:pPr>
      <w:r>
        <w:rPr>
          <w:rFonts w:ascii="Times New Roman" w:cs="Times New Roman" w:eastAsia="Times New Roman" w:hAnsi="Times New Roman"/>
          <w:sz w:val="18"/>
          <w:szCs w:val="18"/>
          <w:color w:val="auto"/>
        </w:rPr>
        <w:t>These provisions regarding changes with majority approval also apply to changes affecting any securities issued under a unit agreement, as the governing document.</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each case, the required approval must be given by written consent.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Unit Agreements Will Not Be Qualified under Trust Indenture Act</w:t>
      </w:r>
    </w:p>
    <w:p>
      <w:pPr>
        <w:spacing w:after="0" w:line="121"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No unit agreement will be qualified as an indenture, and no unit agent will be required to qualify as a trustee, under the Trust Indenture Act. Therefore, holders of units issued under unit agreements will not have the protections of the Trust Indenture Act with respect to their units.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Mergers and Similar Transactions Permitted; No Restrictive Covenants or Events of Default</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unit agreements will not restrict our ability to merge or consolidate with, or sell our assets to, another corporation or other entity or to engage in any other transactions. If at any time we merge or consolidate with, or</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80"/>
          </w:cols>
          <w:pgMar w:left="320" w:top="455" w:right="49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sell our assets substantially as an entirety to, another corporation or other entity, the successor entity will succeed to and assume our obligations under the unit agreements. We will then be relieved of any further obligation under these agreements.</w:t>
      </w:r>
    </w:p>
    <w:p>
      <w:pPr>
        <w:spacing w:after="0" w:line="162"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The unit agreements will not include any restrictions on our ability to put liens on our assets, nor will they restrict our ability to sell our assets. The unit agreements also will not provide for any events of default or remedies upon the occurrence of any events of default.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Governing Law</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unit agreements and the units will be governed by New York law.</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Form, Exchange and Transfer</w:t>
      </w:r>
    </w:p>
    <w:p>
      <w:pPr>
        <w:spacing w:after="0" w:line="121"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We will issue each unit in global, i.e., book-entry, form only. Units in book-entry form will be represented by a global security registered in the name of a depositary, which will be the holder of all the units represented by the global security. Those who own beneficial interests in a unit will do so through participants in the depositary’s system, and the rights of these indirect owners will be governed solely by the applicable procedures of the depositary and its participants. We will describe book-entry securities, and other terms regarding the issuance and registration of the units in the applicable prospectus supplement.</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Each unit and all securities comprising the unit will be issued in the same form.</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If we issue any units in registered, non-global form, the following will apply to them.</w:t>
      </w:r>
    </w:p>
    <w:p>
      <w:pPr>
        <w:spacing w:after="0" w:line="225"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The units will be issued in the denominations stated in the applicable prospectus supplement. Holders may exchange their units for units of smaller denominations or combined into fewer units of larger denominations, as long as the total amount is not changed.</w:t>
      </w:r>
    </w:p>
    <w:p>
      <w:pPr>
        <w:spacing w:after="0" w:line="67" w:lineRule="exact"/>
        <w:rPr>
          <w:sz w:val="20"/>
          <w:szCs w:val="20"/>
          <w:color w:val="auto"/>
        </w:rPr>
      </w:pPr>
    </w:p>
    <w:p>
      <w:pPr>
        <w:ind w:left="1080" w:right="260" w:hanging="424"/>
        <w:spacing w:after="0" w:line="282"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may exchange or transfer their units at the office of the unit agent. Holders may also replace lost, stolen, destroyed or mutilated units at that office. We may appoint another entity to perform these functions or perform them ourselves.</w:t>
      </w:r>
    </w:p>
    <w:p>
      <w:pPr>
        <w:spacing w:after="0" w:line="67"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will not be required to pay a service charge to transfer or exchange their units, but they may be required to pay for any tax or other governmental charge associated with the transfer or exchange. The transfer or exchange, and any replacement, will be made only if our transfer agent is satisfied with the holder’s proof of legal ownership. The transfer agent may also require an indemnity before replacing any units.</w:t>
      </w:r>
    </w:p>
    <w:p>
      <w:pPr>
        <w:spacing w:after="0" w:line="85" w:lineRule="exact"/>
        <w:rPr>
          <w:rFonts w:ascii="Times New Roman" w:cs="Times New Roman" w:eastAsia="Times New Roman" w:hAnsi="Times New Roman"/>
          <w:sz w:val="18"/>
          <w:szCs w:val="18"/>
          <w:color w:val="auto"/>
        </w:rPr>
      </w:pPr>
    </w:p>
    <w:p>
      <w:pPr>
        <w:ind w:left="1080" w:right="20" w:hanging="424"/>
        <w:spacing w:after="0" w:line="256"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have the right to redeem, accelerate or settle any units before their maturity, and we exercise our right as to less than all those units or other securities, we may block the exchange or transfer of those units during the period beginning 15 days before the day we mail the notice of exercise and ending on the day of that mailing, in order to freeze the list of holders to prepare the mailing. We may also refuse to register transfers of or exchange any unit selected for early settlement, except that we will continue to permit transfers and exchanges of the unsettled portion of any unit being partially settled. We may also block the transfer or exchange of any unit in this manner if the unit includes securities that are or may be selected for early settlement.</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Only the depositary will be entitled to transfer or exchange a unit in global form, since it will be the sole holder of the unit.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Payments and Notices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making payments and giving notices with respect to our units, we will follow the procedures as described in the applicable prospectus supplement.</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20"/>
          </w:cols>
          <w:pgMar w:left="320" w:top="455" w:right="4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We may sell the offered securities in and outside the United States (1) through underwriters or dealers, (2) directly to one or more purchasers, including to a limited number of institutional purchasers, to a single purchaser or to our affiliates and stockholders, (3) through agents or (4) through a combination of any of these methods.</w:t>
      </w:r>
    </w:p>
    <w:p>
      <w:pPr>
        <w:spacing w:after="0" w:line="176"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If underwriters or dealers are used in the sale, the securities will be acquired by the underwriters or dealers for their own account and may be resold from time to time in one or more transactions, including:</w:t>
      </w:r>
    </w:p>
    <w:p>
      <w:pPr>
        <w:spacing w:after="0" w:line="67" w:lineRule="exact"/>
        <w:rPr>
          <w:sz w:val="20"/>
          <w:szCs w:val="20"/>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one or more transactions at a fixed price or prices, which may be changed from time to time;</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“at-the-market offerings,” within the meaning of Rule 415(a)(4) of the Securities Act, to or through a market maker or into an existing trading market, on an exchange or otherwise;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market maker or into an existing trading market on an exchange or otherwise;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those prevailing market prices;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applicable prospectus supplement will set forth the following information to the extent applicable:</w:t>
      </w:r>
    </w:p>
    <w:p>
      <w:pPr>
        <w:spacing w:after="0" w:line="131" w:lineRule="exact"/>
        <w:rPr>
          <w:sz w:val="20"/>
          <w:szCs w:val="20"/>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offering;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any underwriters, dealers or agents;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managing underwriter or underwriters;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the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proceeds from the sale of the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delayed delivery arrangements;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underwriting discounts, commissions and other items constituting underwriters’ compensation;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initial public offering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or concessions allowed or reallowed or paid to dealers;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commissions paid to agents.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Sale through Underwriters or Dealers</w:t>
      </w:r>
    </w:p>
    <w:p>
      <w:pPr>
        <w:spacing w:after="0" w:line="121"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If any securities are offered through underwriters, the underwriters will acquire the securities for their own account and may resell them from time to time in one or more transactions, including negotiated transactions, at a fixed public offering price or at varying prices determined at the time of sale. Underwriters may offer and sell securities to the public either through underwriting syndicates represented by one or more managing underwriters or directly by one or more firms acting as underwriters. Unless otherwise provided in the applicable prospectus supplement, the obligations of the underwriters to purchase the securities will be subject to certain conditions, and the underwriters will be obligated to purchase all of the offered securities if they purchase any of them. In connection with the sale of securities, underwriters may be deemed to have received compensation from us in the form of underwriting discounts or commissions and dealers may receive compensation from the underwriters in the form of discounts or concessions. The underwriters may change from time to time any initial public offering price and any discounts or concessions allowed or reallowed or paid to dealers.</w:t>
      </w:r>
    </w:p>
    <w:p>
      <w:pPr>
        <w:spacing w:after="0" w:line="188" w:lineRule="exact"/>
        <w:rPr>
          <w:sz w:val="20"/>
          <w:szCs w:val="20"/>
          <w:color w:val="auto"/>
        </w:rPr>
      </w:pPr>
    </w:p>
    <w:p>
      <w:pPr>
        <w:jc w:val="both"/>
        <w:ind w:left="120" w:right="300"/>
        <w:spacing w:after="0" w:line="266" w:lineRule="auto"/>
        <w:rPr>
          <w:sz w:val="20"/>
          <w:szCs w:val="20"/>
          <w:color w:val="auto"/>
        </w:rPr>
      </w:pPr>
      <w:r>
        <w:rPr>
          <w:rFonts w:ascii="Times New Roman" w:cs="Times New Roman" w:eastAsia="Times New Roman" w:hAnsi="Times New Roman"/>
          <w:sz w:val="18"/>
          <w:szCs w:val="18"/>
          <w:color w:val="auto"/>
        </w:rPr>
        <w:t>In order to facilitate the offering of securities, the underwriters may engage in transactions that stabilize, maintain or otherwise affect the price of the securities. Specifically, the underwriters may overallot in connection with the offering, creating a short position in the securities for their account. In addition, to cover overallotments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20"/>
          </w:cols>
          <w:pgMar w:left="320" w:top="455" w:right="4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or to stabilize the price of the shares, the underwriters may bid for, and purchase, shares in the open market. Finally, an underwriting syndicate may reclaim selling concessions allowed to an underwriter or a dealer for distributing the securities in the offering if the syndicate repurchases previously distributed shares in transactions to cover syndicate short positions, in stabilization transactions, or otherwise. Any of these activities may stabilize or maintain the market price of the offered securities above independent market levels. The underwriters are not required to engage in these activities, and may discontinue any of these activities at any time.</w:t>
      </w:r>
    </w:p>
    <w:p>
      <w:pPr>
        <w:spacing w:after="0" w:line="183"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Some or all of the securities that we offer through this prospectus may be new issues of securities with no established trading market. Any underwriters to whom we sell securities for public offering and sale may make a market in those securities, but they will not be obligated to do so and they may discontinue any market making at any time without notice. Accordingly, we cannot assure you of the liquidity of, or continued trading markets for, any securities offered pursuant to this prospectus.</w:t>
      </w:r>
    </w:p>
    <w:p>
      <w:pPr>
        <w:spacing w:after="0" w:line="180" w:lineRule="exact"/>
        <w:rPr>
          <w:sz w:val="20"/>
          <w:szCs w:val="20"/>
          <w:color w:val="auto"/>
        </w:rPr>
      </w:pPr>
    </w:p>
    <w:p>
      <w:pPr>
        <w:ind w:left="120" w:right="540"/>
        <w:spacing w:after="0" w:line="282" w:lineRule="auto"/>
        <w:rPr>
          <w:sz w:val="20"/>
          <w:szCs w:val="20"/>
          <w:color w:val="auto"/>
        </w:rPr>
      </w:pPr>
      <w:r>
        <w:rPr>
          <w:rFonts w:ascii="Times New Roman" w:cs="Times New Roman" w:eastAsia="Times New Roman" w:hAnsi="Times New Roman"/>
          <w:sz w:val="18"/>
          <w:szCs w:val="18"/>
          <w:color w:val="auto"/>
        </w:rPr>
        <w:t>If any securities are offered through dealers, we will sell the securities to them as principals. They may then resell those securities to the public at varying prices determined by the dealers at the time of resale.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 Sales and Sales through Agents</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We may sell the securities directly to purchasers. If the securities are sold directly to institutional investors or others who may be deemed to be underwriters within the meaning of the Securities Act with respect to any sale of those securities, we will describe the terms of any such sales in the applicable prospectus supplement. We may also sell the securities through agents designated from time to time. Sales may be made by means of ordinary brokers’ transactions on The Nasdaq Global Market at market prices, in block transactions and such other transactions as agreed by us and any agent. In the applicable prospectus supplement, we will name any agent involved in the offer or sale of the offered securities, and we will describe any commissions payable to the agent. Unless otherwise provided in the applicable prospectus supplement, any agent will agree to use its reasonable best efforts to solicit purchases for the period of its appointment.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At-the-Market Offerings</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To the extent that we make sales through one or more underwriters or agents in at-the-market offerings, we will do so pursuant to the terms of a sales agency financing agreement or other at-the-market offering arrangement between us, on the one hand, and the underwriters or agents, on the other. If we engage in at-the-market sales pursuant to any such agreement, we will issue and sell our securities through one or more underwriters or agents, which may act on an agency basis or a principal basis. During the term of any such agreement, we may sell securities on a daily basis in exchange transactions or otherwise as we agree with the underwriters or agents. Any such agreement will provide that any securities sold will be sold at prices related to the then prevailing market prices for our securities. Therefore, exact figures regarding proceeds that will be raised or commissions to be paid cannot be determined at this time. Pursuant to the terms of the agreement, we may agree to sell, and the relevant underwriters or agents may agree to solicit offers to purchase blocks of our common stock or other securities. The terms of any such agreement will be set forth in more detail in the applicable prospectus supplement.</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Remarketing Arrangements</w:t>
      </w:r>
    </w:p>
    <w:p>
      <w:pPr>
        <w:spacing w:after="0" w:line="121"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Offered securities may also be offered and sold, if we so indicate in the applicable prospectus supplement, in connection with a remarketing upon their purchase, in accordance with a redemption or repayment pursuant to their terms, or otherwise, by one or more remarketing firms, acting as principals for their own accounts or as our agents. Any remarketing firm will be identified and the terms of its agreements, if any, with us and its compensation will be described in the applicable prospectus supplement. Remarketing firms may be deemed to be underwriters of the offered securities under the Securities Act.</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20"/>
          </w:cols>
          <w:pgMar w:left="320" w:top="455" w:right="4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Delayed Delivery Contracts</w:t>
      </w:r>
    </w:p>
    <w:p>
      <w:pPr>
        <w:spacing w:after="0" w:line="121"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If we so indicate in the applicable prospectus supplement, we may authorize agents, underwriters or dealers to solicit offers by certain institutions to purchase securities from us pursuant to contracts providing for payment and delivery on a specified future date. The applicable prospectus supplement will describe the conditions to those contracts and the commission payable for solicitation of those contracts.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121"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We may have agreements with the agents, dealers, underwriters and remarketing firms to indemnify them against certain civil liabilities, including liabilities under the Securities Act, or to contribute with respect to payments that the agents, dealers or underwriters may be required to make. Agents, dealers, underwriters and remarketing firms may be customers of, engage in transactions with or perform services for us in the ordinary course of their businesses.</w:t>
      </w:r>
    </w:p>
    <w:p>
      <w:pPr>
        <w:spacing w:after="0" w:line="180"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Each underwriter, dealer and agent participating in the distribution of any of the securities that are issuable in bearer form will agree that it will not offer, sell or deliver, directly or indirectly, securities in bearer form in the United States or to United States persons, other than qualifying financial institutions, during the restricted period, as defined in United States Treasury Regulations Section 1.163-5(c)(2)(i)(D)(7).</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20"/>
          </w:cols>
          <w:pgMar w:left="320" w:top="455" w:right="4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460"/>
        <w:spacing w:after="0" w:line="282" w:lineRule="auto"/>
        <w:rPr>
          <w:sz w:val="20"/>
          <w:szCs w:val="20"/>
          <w:color w:val="auto"/>
        </w:rPr>
      </w:pPr>
      <w:r>
        <w:rPr>
          <w:rFonts w:ascii="Times New Roman" w:cs="Times New Roman" w:eastAsia="Times New Roman" w:hAnsi="Times New Roman"/>
          <w:sz w:val="18"/>
          <w:szCs w:val="18"/>
          <w:color w:val="auto"/>
        </w:rPr>
        <w:t>Certain legal matters in connection with this offering will be passed upon for us by Goodwin Procter LLP, Boston, Massachusetts. Additional legal matters may be passed on for us, or any underwriters, dealers or agents by counsel we will name in the applicable prospectus supplement.</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300"/>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of Disc Medicine, Inc. appearing in Disc Medicine, Inc.’s Annual Report (Form 10-K) for the years ended December 31, 2022 and 2021, have been audited by Ernst &amp; Young LLP, independent registered public accounting firm, as set forth in their report thereon, included therein, and incorporated herein by reference. Such consolidated financial statements are, and audited financial statements to be included in subsequently filed documents will be, incorporated herein in reliance upon the reports of Ernst &amp; Young LLP pertaining to such financial statements (to the extent covered by consents filed with the Securities and Exchange Commission) given on the authority of such firm as experts in accounting and auditing.</w:t>
      </w:r>
    </w:p>
    <w:p>
      <w:pPr>
        <w:spacing w:after="0" w:line="187"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Gemini Therapeutics, Inc. appearing in Gemini Therapeutics, Inc.’s Annual Report (Form 10-K) for the year ended December 31, 2021,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40"/>
          </w:cols>
          <w:pgMar w:left="320" w:top="455" w:right="4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249555</wp:posOffset>
            </wp:positionV>
            <wp:extent cx="699516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300990</wp:posOffset>
            </wp:positionV>
            <wp:extent cx="699516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1710690</wp:posOffset>
            </wp:positionH>
            <wp:positionV relativeFrom="paragraph">
              <wp:posOffset>643890</wp:posOffset>
            </wp:positionV>
            <wp:extent cx="3720465" cy="5657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3">
                      <a:extLst>
                        <a:ext uri="{28A0092B-C50C-407E-A947-70E740481C1C}"/>
                      </a:extLst>
                    </a:blip>
                    <a:srcRect/>
                    <a:stretch>
                      <a:fillRect/>
                    </a:stretch>
                  </pic:blipFill>
                  <pic:spPr bwMode="auto">
                    <a:xfrm>
                      <a:off x="0" y="0"/>
                      <a:ext cx="3720465" cy="565785"/>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8"/>
          <w:szCs w:val="28"/>
          <w:b w:val="1"/>
          <w:bCs w:val="1"/>
          <w:color w:val="auto"/>
        </w:rPr>
        <w:t>4,944,000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2447925</wp:posOffset>
            </wp:positionH>
            <wp:positionV relativeFrom="paragraph">
              <wp:posOffset>2202815</wp:posOffset>
            </wp:positionV>
            <wp:extent cx="224599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4">
                      <a:extLst>
                        <a:ext uri="{28A0092B-C50C-407E-A947-70E740481C1C}"/>
                      </a:extLst>
                    </a:blip>
                    <a:srcRect/>
                    <a:stretch>
                      <a:fillRect/>
                    </a:stretch>
                  </pic:blipFill>
                  <pic:spPr bwMode="auto">
                    <a:xfrm>
                      <a:off x="0" y="0"/>
                      <a:ext cx="22459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2447925</wp:posOffset>
            </wp:positionH>
            <wp:positionV relativeFrom="paragraph">
              <wp:posOffset>236220</wp:posOffset>
            </wp:positionV>
            <wp:extent cx="224599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5">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9"/>
          <w:szCs w:val="29"/>
          <w:b w:val="1"/>
          <w:bCs w:val="1"/>
          <w:color w:val="auto"/>
        </w:rPr>
        <w:t>Leerink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412750</wp:posOffset>
            </wp:positionV>
            <wp:extent cx="147447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June 14,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457200</wp:posOffset>
            </wp:positionV>
            <wp:extent cx="699516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7">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525780</wp:posOffset>
            </wp:positionV>
            <wp:extent cx="699516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sectPr>
      <w:pgSz w:w="11900" w:h="16838" w:orient="portrait"/>
      <w:cols w:equalWidth="0" w:num="1">
        <w:col w:w="10139"/>
      </w:cols>
      <w:pgMar w:left="320" w:top="45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1F32454"/>
    <w:multiLevelType w:val="hybridMultilevel"/>
    <w:lvl w:ilvl="0">
      <w:lvlJc w:val="left"/>
      <w:lvlText w:val="(%1)"/>
      <w:numFmt w:val="decimal"/>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
      <w:numFmt w:val="bullet"/>
      <w:start w:val="1"/>
    </w:lvl>
  </w:abstractNum>
  <w:abstractNum w:abstractNumId="3">
    <w:nsid w:val="2901D82"/>
    <w:multiLevelType w:val="hybridMultilevel"/>
    <w:lvl w:ilvl="0">
      <w:lvlJc w:val="left"/>
      <w:lvlText w:val="•"/>
      <w:numFmt w:val="bullet"/>
      <w:start w:val="1"/>
    </w:lvl>
  </w:abstractNum>
  <w:abstractNum w:abstractNumId="4">
    <w:nsid w:val="3A95F874"/>
    <w:multiLevelType w:val="hybridMultilevel"/>
    <w:lvl w:ilvl="0">
      <w:lvlJc w:val="left"/>
      <w:lvlText w:val="•"/>
      <w:numFmt w:val="bullet"/>
      <w:start w:val="1"/>
    </w:lvl>
    <w:lvl w:ilvl="1">
      <w:lvlJc w:val="left"/>
      <w:lvlText w:val="•"/>
      <w:numFmt w:val="bullet"/>
      <w:start w:val="1"/>
    </w:lvl>
  </w:abstractNum>
  <w:abstractNum w:abstractNumId="5">
    <w:nsid w:val="8138641"/>
    <w:multiLevelType w:val="hybridMultilevel"/>
    <w:lvl w:ilvl="0">
      <w:lvlJc w:val="left"/>
      <w:lvlText w:val="•"/>
      <w:numFmt w:val="bullet"/>
      <w:start w:val="1"/>
    </w:lvl>
  </w:abstractNum>
  <w:abstractNum w:abstractNumId="6">
    <w:nsid w:val="1E7FF521"/>
    <w:multiLevelType w:val="hybridMultilevel"/>
    <w:lvl w:ilvl="0">
      <w:lvlJc w:val="left"/>
      <w:lvlText w:val="•"/>
      <w:numFmt w:val="bullet"/>
      <w:start w:val="1"/>
    </w:lvl>
    <w:lvl w:ilvl="1">
      <w:lvlJc w:val="left"/>
      <w:lvlText w:val="•"/>
      <w:numFmt w:val="bullet"/>
      <w:start w:val="1"/>
    </w:lvl>
  </w:abstractNum>
  <w:abstractNum w:abstractNumId="7">
    <w:nsid w:val="7C3DBD3D"/>
    <w:multiLevelType w:val="hybridMultilevel"/>
    <w:lvl w:ilvl="0">
      <w:lvlJc w:val="left"/>
      <w:lvlText w:val="•"/>
      <w:numFmt w:val="bullet"/>
      <w:start w:val="1"/>
    </w:lvl>
  </w:abstractNum>
  <w:abstractNum w:abstractNumId="8">
    <w:nsid w:val="737B8DDC"/>
    <w:multiLevelType w:val="hybridMultilevel"/>
    <w:lvl w:ilvl="0">
      <w:lvlJc w:val="left"/>
      <w:lvlText w:val="•"/>
      <w:numFmt w:val="bullet"/>
      <w:start w:val="1"/>
    </w:lvl>
  </w:abstractNum>
  <w:abstractNum w:abstractNumId="9">
    <w:nsid w:val="6CEAF087"/>
    <w:multiLevelType w:val="hybridMultilevel"/>
    <w:lvl w:ilvl="0">
      <w:lvlJc w:val="left"/>
      <w:lvlText w:val="•"/>
      <w:numFmt w:val="bullet"/>
      <w:start w:val="1"/>
    </w:lvl>
  </w:abstractNum>
  <w:abstractNum w:abstractNumId="10">
    <w:nsid w:val="22221A70"/>
    <w:multiLevelType w:val="hybridMultilevel"/>
    <w:lvl w:ilvl="0">
      <w:lvlJc w:val="left"/>
      <w:lvlText w:val="•"/>
      <w:numFmt w:val="bullet"/>
      <w:start w:val="1"/>
    </w:lvl>
  </w:abstractNum>
  <w:abstractNum w:abstractNumId="11">
    <w:nsid w:val="4516DDE9"/>
    <w:multiLevelType w:val="hybridMultilevel"/>
    <w:lvl w:ilvl="0">
      <w:lvlJc w:val="left"/>
      <w:lvlText w:val="•"/>
      <w:numFmt w:val="bullet"/>
      <w:start w:val="1"/>
    </w:lvl>
  </w:abstractNum>
  <w:abstractNum w:abstractNumId="12">
    <w:nsid w:val="3006C83E"/>
    <w:multiLevelType w:val="hybridMultilevel"/>
    <w:lvl w:ilvl="0">
      <w:lvlJc w:val="left"/>
      <w:lvlText w:val="•"/>
      <w:numFmt w:val="bullet"/>
      <w:start w:val="1"/>
    </w:lvl>
  </w:abstractNum>
  <w:abstractNum w:abstractNumId="13">
    <w:nsid w:val="614FD4A1"/>
    <w:multiLevelType w:val="hybridMultilevel"/>
    <w:lvl w:ilvl="0">
      <w:lvlJc w:val="left"/>
      <w:lvlText w:val="•"/>
      <w:numFmt w:val="bullet"/>
      <w:start w:val="1"/>
    </w:lvl>
  </w:abstractNum>
  <w:abstractNum w:abstractNumId="14">
    <w:nsid w:val="419AC241"/>
    <w:multiLevelType w:val="hybridMultilevel"/>
    <w:lvl w:ilvl="0">
      <w:lvlJc w:val="left"/>
      <w:lvlText w:val="(%1)"/>
      <w:numFmt w:val="decimal"/>
      <w:start w:val="3"/>
    </w:lvl>
  </w:abstractNum>
  <w:abstractNum w:abstractNumId="15">
    <w:nsid w:val="5577F8E1"/>
    <w:multiLevelType w:val="hybridMultilevel"/>
    <w:lvl w:ilvl="0">
      <w:lvlJc w:val="left"/>
      <w:lvlText w:val="•"/>
      <w:numFmt w:val="bullet"/>
      <w:start w:val="1"/>
    </w:lvl>
  </w:abstractNum>
  <w:abstractNum w:abstractNumId="16">
    <w:nsid w:val="440BADFC"/>
    <w:multiLevelType w:val="hybridMultilevel"/>
    <w:lvl w:ilvl="0">
      <w:lvlJc w:val="left"/>
      <w:lvlText w:val="(%1)"/>
      <w:numFmt w:val="lowerLetter"/>
      <w:start w:val="1"/>
    </w:lvl>
  </w:abstractNum>
  <w:abstractNum w:abstractNumId="17">
    <w:nsid w:val="5072367"/>
    <w:multiLevelType w:val="hybridMultilevel"/>
    <w:lvl w:ilvl="0">
      <w:lvlJc w:val="left"/>
      <w:lvlText w:val="(%1)"/>
      <w:numFmt w:val="lowerLetter"/>
      <w:start w:val="7"/>
    </w:lvl>
  </w:abstractNum>
  <w:abstractNum w:abstractNumId="18">
    <w:nsid w:val="3804823E"/>
    <w:multiLevelType w:val="hybridMultilevel"/>
    <w:lvl w:ilvl="0">
      <w:lvlJc w:val="left"/>
      <w:lvlText w:val="(%1)"/>
      <w:numFmt w:val="lowerLetter"/>
      <w:start w:val="1"/>
    </w:lvl>
  </w:abstractNum>
  <w:abstractNum w:abstractNumId="19">
    <w:nsid w:val="77465F01"/>
    <w:multiLevelType w:val="hybridMultilevel"/>
    <w:lvl w:ilvl="0">
      <w:lvlJc w:val="left"/>
      <w:lvlText w:val="(%1)"/>
      <w:numFmt w:val="lowerLetter"/>
      <w:start w:val="8"/>
    </w:lvl>
  </w:abstractNum>
  <w:abstractNum w:abstractNumId="20">
    <w:nsid w:val="7724C67E"/>
    <w:multiLevelType w:val="hybridMultilevel"/>
    <w:lvl w:ilvl="0">
      <w:lvlJc w:val="left"/>
      <w:lvlText w:val="%1."/>
      <w:numFmt w:val="upperLetter"/>
      <w:start w:val="1"/>
    </w:lvl>
  </w:abstractNum>
  <w:abstractNum w:abstractNumId="21">
    <w:nsid w:val="5C482A97"/>
    <w:multiLevelType w:val="hybridMultilevel"/>
    <w:lvl w:ilvl="0">
      <w:lvlJc w:val="left"/>
      <w:lvlText w:val="%1."/>
      <w:numFmt w:val="upperLetter"/>
      <w:start w:val="1"/>
    </w:lvl>
  </w:abstractNum>
  <w:abstractNum w:abstractNumId="22">
    <w:nsid w:val="2463B9EA"/>
    <w:multiLevelType w:val="hybridMultilevel"/>
    <w:lvl w:ilvl="0">
      <w:lvlJc w:val="left"/>
      <w:lvlText w:val="•"/>
      <w:numFmt w:val="bullet"/>
      <w:start w:val="1"/>
    </w:lvl>
  </w:abstractNum>
  <w:abstractNum w:abstractNumId="23">
    <w:nsid w:val="5E884ADC"/>
    <w:multiLevelType w:val="hybridMultilevel"/>
    <w:lvl w:ilvl="0">
      <w:lvlJc w:val="left"/>
      <w:lvlText w:val="•"/>
      <w:numFmt w:val="bullet"/>
      <w:start w:val="1"/>
    </w:lvl>
  </w:abstractNum>
  <w:abstractNum w:abstractNumId="24">
    <w:nsid w:val="51EAD36B"/>
    <w:multiLevelType w:val="hybridMultilevel"/>
    <w:lvl w:ilvl="0">
      <w:lvlJc w:val="left"/>
      <w:lvlText w:val="(%1)"/>
      <w:numFmt w:val="decimal"/>
      <w:start w:val="617"/>
    </w:lvl>
  </w:abstractNum>
  <w:abstractNum w:abstractNumId="25">
    <w:nsid w:val="2D517796"/>
    <w:multiLevelType w:val="hybridMultilevel"/>
    <w:lvl w:ilvl="0">
      <w:lvlJc w:val="left"/>
      <w:lvlText w:val="•"/>
      <w:numFmt w:val="bullet"/>
      <w:start w:val="1"/>
    </w:lvl>
  </w:abstractNum>
  <w:abstractNum w:abstractNumId="26">
    <w:nsid w:val="580BD78F"/>
    <w:multiLevelType w:val="hybridMultilevel"/>
    <w:lvl w:ilvl="0">
      <w:lvlJc w:val="left"/>
      <w:lvlText w:val="•"/>
      <w:numFmt w:val="bullet"/>
      <w:start w:val="1"/>
    </w:lvl>
  </w:abstractNum>
  <w:abstractNum w:abstractNumId="27">
    <w:nsid w:val="153EA438"/>
    <w:multiLevelType w:val="hybridMultilevel"/>
    <w:lvl w:ilvl="0">
      <w:lvlJc w:val="left"/>
      <w:lvlText w:val="•"/>
      <w:numFmt w:val="bullet"/>
      <w:start w:val="1"/>
    </w:lvl>
  </w:abstractNum>
  <w:abstractNum w:abstractNumId="28">
    <w:nsid w:val="3855585C"/>
    <w:multiLevelType w:val="hybridMultilevel"/>
    <w:lvl w:ilvl="0">
      <w:lvlJc w:val="left"/>
      <w:lvlText w:val="•"/>
      <w:numFmt w:val="bullet"/>
      <w:start w:val="1"/>
    </w:lvl>
  </w:abstractNum>
  <w:abstractNum w:abstractNumId="29">
    <w:nsid w:val="70A64E2A"/>
    <w:multiLevelType w:val="hybridMultilevel"/>
    <w:lvl w:ilvl="0">
      <w:lvlJc w:val="left"/>
      <w:lvlText w:val="•"/>
      <w:numFmt w:val="bullet"/>
      <w:start w:val="1"/>
    </w:lvl>
  </w:abstractNum>
  <w:abstractNum w:abstractNumId="30">
    <w:nsid w:val="6A2342EC"/>
    <w:multiLevelType w:val="hybridMultilevel"/>
    <w:lvl w:ilvl="0">
      <w:lvlJc w:val="left"/>
      <w:lvlText w:val="•"/>
      <w:numFmt w:val="bullet"/>
      <w:start w:val="1"/>
    </w:lvl>
  </w:abstractNum>
  <w:abstractNum w:abstractNumId="31">
    <w:nsid w:val="2A487CB0"/>
    <w:multiLevelType w:val="hybridMultilevel"/>
    <w:lvl w:ilvl="0">
      <w:lvlJc w:val="left"/>
      <w:lvlText w:val="•"/>
      <w:numFmt w:val="bullet"/>
      <w:start w:val="1"/>
    </w:lvl>
  </w:abstractNum>
  <w:abstractNum w:abstractNumId="32">
    <w:nsid w:val="1D4ED43B"/>
    <w:multiLevelType w:val="hybridMultilevel"/>
    <w:lvl w:ilvl="0">
      <w:lvlJc w:val="left"/>
      <w:lvlText w:val="•"/>
      <w:numFmt w:val="bullet"/>
      <w:start w:val="1"/>
    </w:lvl>
  </w:abstractNum>
  <w:abstractNum w:abstractNumId="33">
    <w:nsid w:val="725A06FB"/>
    <w:multiLevelType w:val="hybridMultilevel"/>
    <w:lvl w:ilvl="0">
      <w:lvlJc w:val="left"/>
      <w:lvlText w:val="•"/>
      <w:numFmt w:val="bullet"/>
      <w:start w:val="1"/>
    </w:lvl>
  </w:abstractNum>
  <w:abstractNum w:abstractNumId="34">
    <w:nsid w:val="2CD89A32"/>
    <w:multiLevelType w:val="hybridMultilevel"/>
    <w:lvl w:ilvl="0">
      <w:lvlJc w:val="left"/>
      <w:lvlText w:val="•"/>
      <w:numFmt w:val="bullet"/>
      <w:start w:val="1"/>
    </w:lvl>
  </w:abstractNum>
  <w:abstractNum w:abstractNumId="35">
    <w:nsid w:val="57E4CCAF"/>
    <w:multiLevelType w:val="hybridMultilevel"/>
    <w:lvl w:ilvl="0">
      <w:lvlJc w:val="left"/>
      <w:lvlText w:val="•"/>
      <w:numFmt w:val="bullet"/>
      <w:start w:val="1"/>
    </w:lvl>
  </w:abstractNum>
  <w:abstractNum w:abstractNumId="36">
    <w:nsid w:val="7A6D8D3C"/>
    <w:multiLevelType w:val="hybridMultilevel"/>
    <w:lvl w:ilvl="0">
      <w:lvlJc w:val="left"/>
      <w:lvlText w:val="•"/>
      <w:numFmt w:val="bullet"/>
      <w:start w:val="1"/>
    </w:lvl>
    <w:lvl w:ilvl="1">
      <w:lvlJc w:val="left"/>
      <w:lvlText w:val="•"/>
      <w:numFmt w:val="bullet"/>
      <w:start w:val="1"/>
    </w:lvl>
  </w:abstractNum>
  <w:abstractNum w:abstractNumId="37">
    <w:nsid w:val="4B588F54"/>
    <w:multiLevelType w:val="hybridMultilevel"/>
    <w:lvl w:ilvl="0">
      <w:lvlJc w:val="left"/>
      <w:lvlText w:val="•"/>
      <w:numFmt w:val="bullet"/>
      <w:start w:val="1"/>
    </w:lvl>
  </w:abstractNum>
  <w:abstractNum w:abstractNumId="38">
    <w:nsid w:val="542289EC"/>
    <w:multiLevelType w:val="hybridMultilevel"/>
    <w:lvl w:ilvl="0">
      <w:lvlJc w:val="left"/>
      <w:lvlText w:val="•"/>
      <w:numFmt w:val="bullet"/>
      <w:start w:val="1"/>
    </w:lvl>
  </w:abstractNum>
  <w:abstractNum w:abstractNumId="39">
    <w:nsid w:val="6DE91B18"/>
    <w:multiLevelType w:val="hybridMultilevel"/>
    <w:lvl w:ilvl="0">
      <w:lvlJc w:val="left"/>
      <w:lvlText w:val="•"/>
      <w:numFmt w:val="bullet"/>
      <w:start w:val="1"/>
    </w:lvl>
  </w:abstractNum>
  <w:abstractNum w:abstractNumId="40">
    <w:nsid w:val="38437FDB"/>
    <w:multiLevelType w:val="hybridMultilevel"/>
    <w:lvl w:ilvl="0">
      <w:lvlJc w:val="left"/>
      <w:lvlText w:val="•"/>
      <w:numFmt w:val="bullet"/>
      <w:start w:val="1"/>
    </w:lvl>
  </w:abstractNum>
  <w:abstractNum w:abstractNumId="41">
    <w:nsid w:val="7644A45C"/>
    <w:multiLevelType w:val="hybridMultilevel"/>
    <w:lvl w:ilvl="0">
      <w:lvlJc w:val="left"/>
      <w:lvlText w:val="•"/>
      <w:numFmt w:val="bullet"/>
      <w:start w:val="1"/>
    </w:lvl>
  </w:abstractNum>
  <w:abstractNum w:abstractNumId="42">
    <w:nsid w:val="32FFF902"/>
    <w:multiLevelType w:val="hybridMultilevel"/>
    <w:lvl w:ilvl="0">
      <w:lvlJc w:val="left"/>
      <w:lvlText w:val="•"/>
      <w:numFmt w:val="bullet"/>
      <w:start w:val="1"/>
    </w:lvl>
  </w:abstractNum>
  <w:abstractNum w:abstractNumId="43">
    <w:nsid w:val="684A481A"/>
    <w:multiLevelType w:val="hybridMultilevel"/>
    <w:lvl w:ilvl="0">
      <w:lvlJc w:val="left"/>
      <w:lvlText w:val="•"/>
      <w:numFmt w:val="bullet"/>
      <w:start w:val="1"/>
    </w:lvl>
  </w:abstractNum>
  <w:abstractNum w:abstractNumId="44">
    <w:nsid w:val="579478FE"/>
    <w:multiLevelType w:val="hybridMultilevel"/>
    <w:lvl w:ilvl="0">
      <w:lvlJc w:val="left"/>
      <w:lvlText w:val="•"/>
      <w:numFmt w:val="bullet"/>
      <w:start w:val="1"/>
    </w:lvl>
  </w:abstractNum>
  <w:abstractNum w:abstractNumId="45">
    <w:nsid w:val="749ABB43"/>
    <w:multiLevelType w:val="hybridMultilevel"/>
    <w:lvl w:ilvl="0">
      <w:lvlJc w:val="left"/>
      <w:lvlText w:val="•"/>
      <w:numFmt w:val="bullet"/>
      <w:start w:val="1"/>
    </w:lvl>
  </w:abstractNum>
  <w:abstractNum w:abstractNumId="46">
    <w:nsid w:val="3DC240FB"/>
    <w:multiLevelType w:val="hybridMultilevel"/>
    <w:lvl w:ilvl="0">
      <w:lvlJc w:val="left"/>
      <w:lvlText w:val="•"/>
      <w:numFmt w:val="bullet"/>
      <w:start w:val="1"/>
    </w:lvl>
  </w:abstractNum>
  <w:abstractNum w:abstractNumId="47">
    <w:nsid w:val="1BA026FA"/>
    <w:multiLevelType w:val="hybridMultilevel"/>
    <w:lvl w:ilvl="0">
      <w:lvlJc w:val="left"/>
      <w:lvlText w:val="•"/>
      <w:numFmt w:val="bullet"/>
      <w:start w:val="1"/>
    </w:lvl>
  </w:abstractNum>
  <w:abstractNum w:abstractNumId="48">
    <w:nsid w:val="79A1DEAA"/>
    <w:multiLevelType w:val="hybridMultilevel"/>
    <w:lvl w:ilvl="0">
      <w:lvlJc w:val="left"/>
      <w:lvlText w:val="•"/>
      <w:numFmt w:val="bullet"/>
      <w:start w:val="1"/>
    </w:lvl>
  </w:abstractNum>
  <w:abstractNum w:abstractNumId="49">
    <w:nsid w:val="75C6C33A"/>
    <w:multiLevelType w:val="hybridMultilevel"/>
    <w:lvl w:ilvl="0">
      <w:lvlJc w:val="left"/>
      <w:lvlText w:val="•"/>
      <w:numFmt w:val="bullet"/>
      <w:start w:val="1"/>
    </w:lvl>
  </w:abstractNum>
  <w:abstractNum w:abstractNumId="50">
    <w:nsid w:val="12E685FB"/>
    <w:multiLevelType w:val="hybridMultilevel"/>
    <w:lvl w:ilvl="0">
      <w:lvlJc w:val="left"/>
      <w:lvlText w:val="•"/>
      <w:numFmt w:val="bullet"/>
      <w:start w:val="1"/>
    </w:lvl>
  </w:abstractNum>
  <w:abstractNum w:abstractNumId="51">
    <w:nsid w:val="70C6A529"/>
    <w:multiLevelType w:val="hybridMultilevel"/>
    <w:lvl w:ilvl="0">
      <w:lvlJc w:val="left"/>
      <w:lvlText w:val="•"/>
      <w:numFmt w:val="bullet"/>
      <w:start w:val="1"/>
    </w:lvl>
  </w:abstractNum>
  <w:abstractNum w:abstractNumId="52">
    <w:nsid w:val="520EEDD1"/>
    <w:multiLevelType w:val="hybridMultilevel"/>
    <w:lvl w:ilvl="0">
      <w:lvlJc w:val="left"/>
      <w:lvlText w:val="•"/>
      <w:numFmt w:val="bullet"/>
      <w:start w:val="1"/>
    </w:lvl>
  </w:abstractNum>
  <w:abstractNum w:abstractNumId="53">
    <w:nsid w:val="374A3FE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63" Type="http://schemas.openxmlformats.org/officeDocument/2006/relationships/image" Target="media/image48.png"/><Relationship Id="rId64" Type="http://schemas.openxmlformats.org/officeDocument/2006/relationships/image" Target="media/image49.jpeg"/><Relationship Id="rId65" Type="http://schemas.openxmlformats.org/officeDocument/2006/relationships/image" Target="media/image50.png"/><Relationship Id="rId66" Type="http://schemas.openxmlformats.org/officeDocument/2006/relationships/image" Target="media/image51.png"/><Relationship Id="rId67" Type="http://schemas.openxmlformats.org/officeDocument/2006/relationships/image" Target="media/image52.png"/><Relationship Id="rId68" Type="http://schemas.openxmlformats.org/officeDocument/2006/relationships/image" Target="media/image53.png"/><Relationship Id="rId69" Type="http://schemas.openxmlformats.org/officeDocument/2006/relationships/image" Target="media/image54.png"/><Relationship Id="rId70" Type="http://schemas.openxmlformats.org/officeDocument/2006/relationships/image" Target="media/image55.png"/><Relationship Id="rId89" Type="http://schemas.openxmlformats.org/officeDocument/2006/relationships/image" Target="media/image56.png"/><Relationship Id="rId90" Type="http://schemas.openxmlformats.org/officeDocument/2006/relationships/image" Target="media/image57.png"/><Relationship Id="rId91" Type="http://schemas.openxmlformats.org/officeDocument/2006/relationships/image" Target="media/image58.png"/><Relationship Id="rId92" Type="http://schemas.openxmlformats.org/officeDocument/2006/relationships/image" Target="media/image59.png"/><Relationship Id="rId93" Type="http://schemas.openxmlformats.org/officeDocument/2006/relationships/image" Target="media/image60.png"/><Relationship Id="rId94" Type="http://schemas.openxmlformats.org/officeDocument/2006/relationships/image" Target="media/image61.png"/><Relationship Id="rId95" Type="http://schemas.openxmlformats.org/officeDocument/2006/relationships/image" Target="media/image62.png"/><Relationship Id="rId96" Type="http://schemas.openxmlformats.org/officeDocument/2006/relationships/image" Target="media/image63.png"/><Relationship Id="rId97" Type="http://schemas.openxmlformats.org/officeDocument/2006/relationships/image" Target="media/image64.png"/><Relationship Id="rId98" Type="http://schemas.openxmlformats.org/officeDocument/2006/relationships/image" Target="media/image65.png"/><Relationship Id="rId99" Type="http://schemas.openxmlformats.org/officeDocument/2006/relationships/image" Target="media/image66.png"/><Relationship Id="rId100" Type="http://schemas.openxmlformats.org/officeDocument/2006/relationships/image" Target="media/image67.png"/><Relationship Id="rId101" Type="http://schemas.openxmlformats.org/officeDocument/2006/relationships/image" Target="media/image68.png"/><Relationship Id="rId102" Type="http://schemas.openxmlformats.org/officeDocument/2006/relationships/image" Target="media/image69.png"/><Relationship Id="rId103" Type="http://schemas.openxmlformats.org/officeDocument/2006/relationships/image" Target="media/image70.png"/><Relationship Id="rId104" Type="http://schemas.openxmlformats.org/officeDocument/2006/relationships/image" Target="media/image71.png"/><Relationship Id="rId105" Type="http://schemas.openxmlformats.org/officeDocument/2006/relationships/image" Target="media/image72.png"/><Relationship Id="rId106" Type="http://schemas.openxmlformats.org/officeDocument/2006/relationships/image" Target="media/image73.png"/><Relationship Id="rId107" Type="http://schemas.openxmlformats.org/officeDocument/2006/relationships/image" Target="media/image74.png"/><Relationship Id="rId108" Type="http://schemas.openxmlformats.org/officeDocument/2006/relationships/image" Target="media/image75.png"/><Relationship Id="rId109" Type="http://schemas.openxmlformats.org/officeDocument/2006/relationships/image" Target="media/image76.png"/><Relationship Id="rId110" Type="http://schemas.openxmlformats.org/officeDocument/2006/relationships/image" Target="media/image77.png"/><Relationship Id="rId111" Type="http://schemas.openxmlformats.org/officeDocument/2006/relationships/image" Target="media/image78.png"/><Relationship Id="rId112" Type="http://schemas.openxmlformats.org/officeDocument/2006/relationships/image" Target="media/image79.png"/><Relationship Id="rId113" Type="http://schemas.openxmlformats.org/officeDocument/2006/relationships/image" Target="media/image80.png"/><Relationship Id="rId114" Type="http://schemas.openxmlformats.org/officeDocument/2006/relationships/image" Target="media/image81.png"/><Relationship Id="rId115" Type="http://schemas.openxmlformats.org/officeDocument/2006/relationships/image" Target="media/image82.png"/><Relationship Id="rId116" Type="http://schemas.openxmlformats.org/officeDocument/2006/relationships/image" Target="media/image83.png"/><Relationship Id="rId117" Type="http://schemas.openxmlformats.org/officeDocument/2006/relationships/image" Target="media/image84.png"/><Relationship Id="rId118" Type="http://schemas.openxmlformats.org/officeDocument/2006/relationships/image" Target="media/image85.png"/><Relationship Id="rId119" Type="http://schemas.openxmlformats.org/officeDocument/2006/relationships/image" Target="media/image86.png"/><Relationship Id="rId120" Type="http://schemas.openxmlformats.org/officeDocument/2006/relationships/image" Target="media/image87.png"/><Relationship Id="rId121" Type="http://schemas.openxmlformats.org/officeDocument/2006/relationships/image" Target="media/image88.png"/><Relationship Id="rId122" Type="http://schemas.openxmlformats.org/officeDocument/2006/relationships/image" Target="media/image89.png"/><Relationship Id="rId123" Type="http://schemas.openxmlformats.org/officeDocument/2006/relationships/image" Target="media/image90.png"/><Relationship Id="rId124" Type="http://schemas.openxmlformats.org/officeDocument/2006/relationships/image" Target="media/image91.png"/><Relationship Id="rId125" Type="http://schemas.openxmlformats.org/officeDocument/2006/relationships/image" Target="media/image92.png"/><Relationship Id="rId126" Type="http://schemas.openxmlformats.org/officeDocument/2006/relationships/image" Target="media/image93.png"/><Relationship Id="rId127" Type="http://schemas.openxmlformats.org/officeDocument/2006/relationships/image" Target="media/image94.png"/><Relationship Id="rId128" Type="http://schemas.openxmlformats.org/officeDocument/2006/relationships/image" Target="media/image95.png"/><Relationship Id="rId129" Type="http://schemas.openxmlformats.org/officeDocument/2006/relationships/image" Target="media/image96.png"/><Relationship Id="rId130" Type="http://schemas.openxmlformats.org/officeDocument/2006/relationships/image" Target="media/image97.png"/><Relationship Id="rId131" Type="http://schemas.openxmlformats.org/officeDocument/2006/relationships/image" Target="media/image98.png"/><Relationship Id="rId132" Type="http://schemas.openxmlformats.org/officeDocument/2006/relationships/image" Target="media/image99.png"/><Relationship Id="rId133" Type="http://schemas.openxmlformats.org/officeDocument/2006/relationships/image" Target="media/image100.png"/><Relationship Id="rId134" Type="http://schemas.openxmlformats.org/officeDocument/2006/relationships/image" Target="media/image101.png"/><Relationship Id="rId135" Type="http://schemas.openxmlformats.org/officeDocument/2006/relationships/image" Target="media/image102.png"/><Relationship Id="rId136" Type="http://schemas.openxmlformats.org/officeDocument/2006/relationships/image" Target="media/image103.png"/><Relationship Id="rId137" Type="http://schemas.openxmlformats.org/officeDocument/2006/relationships/image" Target="media/image104.png"/><Relationship Id="rId138" Type="http://schemas.openxmlformats.org/officeDocument/2006/relationships/image" Target="media/image105.png"/><Relationship Id="rId139" Type="http://schemas.openxmlformats.org/officeDocument/2006/relationships/image" Target="media/image106.png"/><Relationship Id="rId140" Type="http://schemas.openxmlformats.org/officeDocument/2006/relationships/image" Target="media/image107.png"/><Relationship Id="rId141" Type="http://schemas.openxmlformats.org/officeDocument/2006/relationships/image" Target="media/image108.png"/><Relationship Id="rId142" Type="http://schemas.openxmlformats.org/officeDocument/2006/relationships/image" Target="media/image109.png"/><Relationship Id="rId143" Type="http://schemas.openxmlformats.org/officeDocument/2006/relationships/image" Target="media/image110.jpeg"/><Relationship Id="rId144" Type="http://schemas.openxmlformats.org/officeDocument/2006/relationships/image" Target="media/image111.png"/><Relationship Id="rId145" Type="http://schemas.openxmlformats.org/officeDocument/2006/relationships/image" Target="media/image112.png"/><Relationship Id="rId146" Type="http://schemas.openxmlformats.org/officeDocument/2006/relationships/image" Target="media/image113.png"/><Relationship Id="rId147" Type="http://schemas.openxmlformats.org/officeDocument/2006/relationships/image" Target="media/image114.png"/><Relationship Id="rId148" Type="http://schemas.openxmlformats.org/officeDocument/2006/relationships/image" Target="media/image115.png"/><Relationship Id="rId55" Type="http://schemas.openxmlformats.org/officeDocument/2006/relationships/hyperlink" Target="http://www.sec.gov/ix?doc=/Archives/edgar/data/0001816736/000095017024034432/iron-20231231.htm" TargetMode="External"/><Relationship Id="rId56" Type="http://schemas.openxmlformats.org/officeDocument/2006/relationships/hyperlink" Target="http://www.sec.gov/ix?doc=/Archives/edgar/data/1816736/000095017024056304/iron-20240331.htm" TargetMode="External"/><Relationship Id="rId57" Type="http://schemas.openxmlformats.org/officeDocument/2006/relationships/hyperlink" Target="http://www.sec.gov/ix?doc=/Archives/edgar/data/0001816736/000119312524084937/d815786d8k.htm" TargetMode="External"/><Relationship Id="rId58" Type="http://schemas.openxmlformats.org/officeDocument/2006/relationships/hyperlink" Target="http://www.sec.gov/ix?doc=/Archives/edgar/data/1816736/000119312524161170/d826950d8k.htm" TargetMode="External"/><Relationship Id="rId59" Type="http://schemas.openxmlformats.org/officeDocument/2006/relationships/hyperlink" Target="http://www.sec.gov/Archives/edgar/data/1816736/000121390020021145/ea125295-8a12b_fsdevelop.htm" TargetMode="External"/><Relationship Id="rId60" Type="http://schemas.openxmlformats.org/officeDocument/2006/relationships/hyperlink" Target="http://www.sec.gov/Archives/edgar/data/1816736/000095017022003288/gmtx-ex4_4.htm" TargetMode="External"/><Relationship Id="rId61" Type="http://schemas.openxmlformats.org/officeDocument/2006/relationships/hyperlink" Target="http://www.sec.gov/ix?doc=/Archives/edgar/data/0001816736/000095017022003288/gmtx-20211231.htm" TargetMode="External"/><Relationship Id="rId62" Type="http://schemas.openxmlformats.org/officeDocument/2006/relationships/hyperlink" Target="http://www.sec.gov/Archives/edgar/data/1816736/000114036122043943/ny20005172x8_s4a.htm" TargetMode="External"/><Relationship Id="rId71" Type="http://schemas.openxmlformats.org/officeDocument/2006/relationships/hyperlink" Target="http://www.sec.gov/ix?doc=/Archives/edgar/data/1816736/000095017022003288/gmtx-20211231.htm" TargetMode="External"/><Relationship Id="rId72" Type="http://schemas.openxmlformats.org/officeDocument/2006/relationships/hyperlink" Target="http://www.sec.gov/ix?doc=/Archives/edgar/data/1816736/000095017023011139/iron-20221231.htm" TargetMode="External"/><Relationship Id="rId73" Type="http://schemas.openxmlformats.org/officeDocument/2006/relationships/hyperlink" Target="http://www.sec.gov/ix?doc=/Archives/edgar/data/1816736/000095017022024195/gmtx-20220930.htm" TargetMode="External"/><Relationship Id="rId74" Type="http://schemas.openxmlformats.org/officeDocument/2006/relationships/hyperlink" Target="http://www.sec.gov/ix?doc=/Archives/edgar/data/1816736/000095017023021963/iron-20230331.htm" TargetMode="External"/><Relationship Id="rId75" Type="http://schemas.openxmlformats.org/officeDocument/2006/relationships/hyperlink" Target="http://www.sec.gov/ix?doc=/Archives/edgar/data/1816736/000095017023041594/iron-20230630.htm" TargetMode="External"/><Relationship Id="rId76" Type="http://schemas.openxmlformats.org/officeDocument/2006/relationships/hyperlink" Target="http://www.sec.gov/ix?doc=/Archives/edgar/data/1816736/000095017023061572/iron-20230930.htm" TargetMode="External"/><Relationship Id="rId77" Type="http://schemas.openxmlformats.org/officeDocument/2006/relationships/hyperlink" Target="http://www.sec.gov/ix?doc=/Archives/edgar/data/1816736/000114036122047453/brhc10045896_8k.htm" TargetMode="External"/><Relationship Id="rId78" Type="http://schemas.openxmlformats.org/officeDocument/2006/relationships/hyperlink" Target="http://www.sec.gov/ix?doc=/Archives/edgar/data/1816736/000119312523012530/d447304d8k.htm" TargetMode="External"/><Relationship Id="rId79" Type="http://schemas.openxmlformats.org/officeDocument/2006/relationships/hyperlink" Target="http://www.sec.gov/ix?doc=/Archives/edgar/data/1816736/000119312523015225/d456405d8k.htm" TargetMode="External"/><Relationship Id="rId80" Type="http://schemas.openxmlformats.org/officeDocument/2006/relationships/hyperlink" Target="http://www.sec.gov/ix?doc=/Archives/edgar/data/1816736/000119312523037151/d289637d8k.htm" TargetMode="External"/><Relationship Id="rId81" Type="http://schemas.openxmlformats.org/officeDocument/2006/relationships/hyperlink" Target="http://www.sec.gov/ix?doc=/Archives/edgar/data/1816736/000119312523086710/d463005d8k.htm" TargetMode="External"/><Relationship Id="rId82" Type="http://schemas.openxmlformats.org/officeDocument/2006/relationships/hyperlink" Target="http://www.sec.gov/ix?doc=/Archives/edgar/data/1816736/000119312523164532/d477797d8k.htm" TargetMode="External"/><Relationship Id="rId83" Type="http://schemas.openxmlformats.org/officeDocument/2006/relationships/hyperlink" Target="http://www.sec.gov/ix?doc=/Archives/edgar/data/1816736/000119312523165366/d431921d8k.htm" TargetMode="External"/><Relationship Id="rId84" Type="http://schemas.openxmlformats.org/officeDocument/2006/relationships/hyperlink" Target="http://www.sec.gov/ix?doc=/Archives/edgar/data/1816736/000119312523168460/d481795d8k.htm" TargetMode="External"/><Relationship Id="rId85" Type="http://schemas.openxmlformats.org/officeDocument/2006/relationships/hyperlink" Target="http://www.sec.gov/ix?doc=/Archives/edgar/data/1816736/000119312523247379/d856602d8k.htm" TargetMode="External"/><Relationship Id="rId86" Type="http://schemas.openxmlformats.org/officeDocument/2006/relationships/hyperlink" Target="http://www.sec.gov/ix?doc=/Archives/edgar/data/1816736/000119312523253519/d555586d8k.htm" TargetMode="External"/><Relationship Id="rId87" Type="http://schemas.openxmlformats.org/officeDocument/2006/relationships/hyperlink" Target="http://www.sec.gov/ix?doc=/Archives/edgar/data/1816736/000119312523260418/d561595d8k.htm" TargetMode="External"/><Relationship Id="rId88" Type="http://schemas.openxmlformats.org/officeDocument/2006/relationships/hyperlink" Target="http://www.sec.gov/ix?doc=/Archives/edgar/data/1816736/000119312523268935/d569217d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2024-06-14T15:13:47Z</dcterms:created>
  <dcterms:modified xsi:type="dcterms:W3CDTF">2024-06-14T15:13:47Z</dcterms:modified>
</cp:coreProperties>
</file>