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Franchi Jean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02472</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02/25/2026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353</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69.0569</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70,990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were effected by the Reporting Person pursuant to a Rule 10b5-1 trading plan adopted on September 25, 2025.</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$69.00 to $69.36,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Rahul Khara,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02/27/2026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tcBorders>
              <w:top w:val="single" w:sz="8" w:color="auto"/>
            </w:tcBorders>
            <w:vMerge w:val="restart"/>
          </w:tcPr>
          <w:p>
            <w:pPr>
              <w:spacing w:after="0"/>
              <w:rPr>
                <w:sz w:val="7"/>
                <w:szCs w:val="7"/>
                <w:color w:val="auto"/>
              </w:rPr>
            </w:pPr>
          </w:p>
        </w:tc>
        <w:tc>
          <w:tcPr>
            <w:tcW w:w="4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3053"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2026-02-27T16:58:30Z</dcterms:created>
  <dcterms:modified xsi:type="dcterms:W3CDTF">2026-02-27T16:58:30Z</dcterms:modified>
</cp:coreProperties>
</file>