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19050</wp:posOffset>
            </wp:positionV>
            <wp:extent cx="7048500" cy="4277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27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Meyenburg Jason Patrick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GEMINI THERAPEUTICS,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300 ONE KENDALL SQUARE,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Gemini Therapeutics, Inc. /DE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GMTX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02/05/2021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720"/>
        <w:spacing w:after="0" w:line="258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 &amp; CEO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00"/>
            <w:col w:w="336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CAMBRIDGE,   MA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02139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12.66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02/05/2021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1,124,832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02/04/2031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1,124,832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1,124,832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400" w:hanging="3"/>
        <w:spacing w:after="0" w:line="272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shall vest and become exercisable over a period of four years from the Vesting Start Date, February 5, 2021 with 25% vesting on the one year anniversary of the Vesting Start Date, and the remainder vesting over a period of 36 months thereafter, provided that as of each such date the Grantee remains in a business relationship with the Company.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/s/ Jason Meyenburg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04/07/2021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4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9008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2021-04-07T15:05:18Z</dcterms:created>
  <dcterms:modified xsi:type="dcterms:W3CDTF">2021-04-07T15:05:18Z</dcterms:modified>
</cp:coreProperties>
</file>