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 LP</w:t>
      </w:r>
    </w:p>
    <w:p>
      <w:pPr>
        <w:spacing w:after="0" w:line="56"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482308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43378781.52</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12/29/2022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482308</w:t>
            </w:r>
          </w:p>
        </w:tc>
        <w:tc>
          <w:tcPr>
            <w:tcW w:w="18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12/29/2022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20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60" w:right="220" w:hanging="919"/>
        <w:spacing w:after="0" w:line="189" w:lineRule="auto"/>
        <w:tabs>
          <w:tab w:leader="none" w:pos="940" w:val="left"/>
        </w:tabs>
        <w:rPr>
          <w:sz w:val="20"/>
          <w:szCs w:val="20"/>
          <w:color w:val="auto"/>
        </w:rPr>
      </w:pPr>
      <w:r>
        <w:rPr>
          <w:rFonts w:ascii="Times New Roman" w:cs="Times New Roman" w:eastAsia="Times New Roman" w:hAnsi="Times New Roman"/>
          <w:sz w:val="38"/>
          <w:szCs w:val="38"/>
          <w:color w:val="auto"/>
          <w:vertAlign w:val="subscript"/>
        </w:rPr>
        <w:t>Remarks</w:t>
      </w:r>
      <w:r>
        <w:rPr>
          <w:sz w:val="20"/>
          <w:szCs w:val="20"/>
          <w:color w:val="auto"/>
        </w:rPr>
        <w:tab/>
      </w:r>
      <w:r>
        <w:rPr>
          <w:rFonts w:ascii="Times New Roman" w:cs="Times New Roman" w:eastAsia="Times New Roman" w:hAnsi="Times New Roman"/>
          <w:sz w:val="20"/>
          <w:szCs w:val="20"/>
          <w:color w:val="auto"/>
        </w:rPr>
        <w:t>OrbiMed Capital GP VI LLC is the general partner of OrbiMed Private Investments VI, LP. OrbiMed Advisors LLC is the managing member of OrbiMed Capital GP VI LLC.</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380" w:hanging="904"/>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2025-10-20T20:05:41Z</dcterms:created>
  <dcterms:modified xsi:type="dcterms:W3CDTF">2025-10-20T20:05:41Z</dcterms:modified>
</cp:coreProperties>
</file>