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Disc Medicine,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254604101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Alejandro Moreno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Langhorne S. Perrow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Access Industries, Inc.</w:t>
      </w:r>
    </w:p>
    <w:p>
      <w:pPr>
        <w:jc w:val="center"/>
        <w:ind w:right="-59"/>
        <w:spacing w:after="0" w:line="181" w:lineRule="auto"/>
        <w:rPr>
          <w:sz w:val="20"/>
          <w:szCs w:val="20"/>
          <w:color w:val="auto"/>
        </w:rPr>
      </w:pPr>
      <w:r>
        <w:rPr>
          <w:rFonts w:ascii="Arial" w:cs="Arial" w:eastAsia="Arial" w:hAnsi="Arial"/>
          <w:sz w:val="18"/>
          <w:szCs w:val="18"/>
          <w:b w:val="1"/>
          <w:bCs w:val="1"/>
          <w:color w:val="auto"/>
        </w:rPr>
        <w:t>40 West 57</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Street, 28th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247-6400</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Nicholas P. Pellicani</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 Gresham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EC2V 7NQ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+ 44 20 7786 9000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16,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firstLine="4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82"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CUSIP No. 254604101</w:t>
      </w:r>
    </w:p>
    <w:p>
      <w:pPr>
        <w:spacing w:after="0" w:line="266" w:lineRule="exact"/>
        <w:rPr>
          <w:sz w:val="20"/>
          <w:szCs w:val="20"/>
          <w:color w:val="auto"/>
        </w:rPr>
      </w:pPr>
    </w:p>
    <w:p>
      <w:pPr>
        <w:ind w:left="644" w:hanging="397"/>
        <w:spacing w:after="0"/>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AI DMI LLC</w:t>
      </w:r>
    </w:p>
    <w:p>
      <w:pPr>
        <w:spacing w:after="0" w:line="36" w:lineRule="exact"/>
        <w:rPr>
          <w:sz w:val="20"/>
          <w:szCs w:val="20"/>
          <w:color w:val="auto"/>
        </w:rPr>
      </w:pPr>
    </w:p>
    <w:p>
      <w:pPr>
        <w:ind w:left="644" w:hanging="397"/>
        <w:spacing w:after="0"/>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44"/>
        <w:spacing w:after="0" w:line="207" w:lineRule="exact"/>
        <w:tabs>
          <w:tab w:leader="none" w:pos="14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44" w:hanging="397"/>
        <w:spacing w:after="0"/>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4" w:hanging="397"/>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44" w:hanging="397"/>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44" w:hanging="397"/>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9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644" w:right="3840" w:hanging="487"/>
        <w:spacing w:after="0" w:line="346"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644" w:hanging="487"/>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6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44" w:right="5200" w:hanging="487"/>
        <w:spacing w:after="0" w:line="333"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14.95%</w:t>
      </w:r>
      <w:r>
        <w:rPr>
          <w:rFonts w:ascii="Arial" w:cs="Arial" w:eastAsia="Arial" w:hAnsi="Arial"/>
          <w:sz w:val="26"/>
          <w:szCs w:val="26"/>
          <w:color w:val="auto"/>
          <w:vertAlign w:val="superscript"/>
        </w:rPr>
        <w:t>(2)</w:t>
      </w:r>
    </w:p>
    <w:p>
      <w:pPr>
        <w:ind w:left="644" w:right="6040" w:hanging="487"/>
        <w:spacing w:after="0" w:line="540"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1" w:lineRule="exact"/>
        <w:rPr>
          <w:rFonts w:ascii="Arial" w:cs="Arial" w:eastAsia="Arial" w:hAnsi="Arial"/>
          <w:sz w:val="18"/>
          <w:szCs w:val="18"/>
          <w:color w:val="auto"/>
        </w:rPr>
      </w:pPr>
    </w:p>
    <w:p>
      <w:pPr>
        <w:ind w:left="444" w:hanging="444"/>
        <w:spacing w:after="0" w:line="258"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 to purchase shares of Common Stock at $0.0001 per share (the “Pre-Funded Warrants”).</w:t>
      </w:r>
    </w:p>
    <w:p>
      <w:pPr>
        <w:spacing w:after="0" w:line="1" w:lineRule="exact"/>
        <w:rPr>
          <w:rFonts w:ascii="Arial" w:cs="Arial" w:eastAsia="Arial" w:hAnsi="Arial"/>
          <w:sz w:val="18"/>
          <w:szCs w:val="18"/>
          <w:color w:val="auto"/>
        </w:rPr>
      </w:pPr>
    </w:p>
    <w:p>
      <w:pPr>
        <w:ind w:left="444" w:right="80" w:hanging="444"/>
        <w:spacing w:after="0" w:line="253"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22,375,242 shares of Common Stock consisting of (i) 22,171,161 shares of Common Stock outstanding as of June 15, 2023, as reported in the Issuer’s Prospectus Supplement pursuant to Rule 424(b)(5) filed with the Securities and Exchange Commission (the “SEC”) on June 15, 2023, and after giving effect to the Issuer’s offering of Common Stock, and (ii) 204,081 shares of Common Stock underlying the Pre-Funded Warrants.</w:t>
      </w:r>
    </w:p>
    <w:p>
      <w:pPr>
        <w:sectPr>
          <w:pgSz w:w="11900" w:h="16838" w:orient="portrait"/>
          <w:cols w:equalWidth="0" w:num="1">
            <w:col w:w="11004"/>
          </w:cols>
          <w:pgMar w:left="436" w:top="49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254604101</w:t>
      </w:r>
    </w:p>
    <w:p>
      <w:pPr>
        <w:spacing w:after="0" w:line="266" w:lineRule="exact"/>
        <w:rPr>
          <w:sz w:val="20"/>
          <w:szCs w:val="20"/>
          <w:color w:val="auto"/>
        </w:rPr>
      </w:pPr>
    </w:p>
    <w:p>
      <w:pPr>
        <w:ind w:left="644" w:hanging="397"/>
        <w:spacing w:after="0"/>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5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Access Industries Holdings LLC</w:t>
      </w:r>
    </w:p>
    <w:p>
      <w:pPr>
        <w:spacing w:after="0" w:line="36" w:lineRule="exact"/>
        <w:rPr>
          <w:sz w:val="20"/>
          <w:szCs w:val="20"/>
          <w:color w:val="auto"/>
        </w:rPr>
      </w:pPr>
    </w:p>
    <w:p>
      <w:pPr>
        <w:ind w:left="644" w:hanging="397"/>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44"/>
        <w:spacing w:after="0" w:line="207" w:lineRule="exact"/>
        <w:tabs>
          <w:tab w:leader="none" w:pos="14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44" w:hanging="397"/>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4" w:hanging="397"/>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44" w:hanging="397"/>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44" w:hanging="397"/>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64" w:hanging="440"/>
        <w:spacing w:after="0"/>
        <w:tabs>
          <w:tab w:leader="none" w:pos="21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644" w:right="3760" w:hanging="487"/>
        <w:spacing w:after="0" w:line="339" w:lineRule="auto"/>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ind w:left="644" w:hanging="487"/>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6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44" w:right="5120" w:hanging="487"/>
        <w:spacing w:after="0" w:line="333" w:lineRule="auto"/>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14.95%</w:t>
      </w:r>
      <w:r>
        <w:rPr>
          <w:rFonts w:ascii="Arial" w:cs="Arial" w:eastAsia="Arial" w:hAnsi="Arial"/>
          <w:sz w:val="26"/>
          <w:szCs w:val="26"/>
          <w:color w:val="auto"/>
          <w:vertAlign w:val="superscript"/>
        </w:rPr>
        <w:t>(2)</w:t>
      </w:r>
    </w:p>
    <w:p>
      <w:pPr>
        <w:ind w:left="644" w:right="5960" w:hanging="487"/>
        <w:spacing w:after="0" w:line="540" w:lineRule="auto"/>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1" w:lineRule="exact"/>
        <w:rPr>
          <w:rFonts w:ascii="Arial" w:cs="Arial" w:eastAsia="Arial" w:hAnsi="Arial"/>
          <w:sz w:val="18"/>
          <w:szCs w:val="18"/>
          <w:color w:val="auto"/>
        </w:rPr>
      </w:pPr>
    </w:p>
    <w:p>
      <w:pPr>
        <w:ind w:left="444" w:hanging="444"/>
        <w:spacing w:after="0"/>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44" w:hanging="444"/>
        <w:spacing w:after="0" w:line="277" w:lineRule="auto"/>
        <w:tabs>
          <w:tab w:leader="none" w:pos="4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22,375,242 shares of Common Stock consisting of (i) 22,171,161 shares of Common Stock outstanding as of June 15, 2023, as reported in the Issuer’s Prospectus Supplement pursuant to Rule 424(b)(5) filed with the SEC on June 15, 2023, and after giving effect to the Issuer’s offering of Common Stock, and (ii) 204,081 shares of Common Stock underlying the Pre-Funded Warrants.</w:t>
      </w:r>
    </w:p>
    <w:p>
      <w:pPr>
        <w:sectPr>
          <w:pgSz w:w="11900" w:h="16838" w:orient="portrait"/>
          <w:cols w:equalWidth="0" w:num="1">
            <w:col w:w="10924"/>
          </w:cols>
          <w:pgMar w:left="436" w:top="490" w:right="5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254604101</w:t>
      </w:r>
    </w:p>
    <w:p>
      <w:pPr>
        <w:spacing w:after="0" w:line="266" w:lineRule="exact"/>
        <w:rPr>
          <w:sz w:val="20"/>
          <w:szCs w:val="20"/>
          <w:color w:val="auto"/>
        </w:rPr>
      </w:pPr>
    </w:p>
    <w:p>
      <w:pPr>
        <w:ind w:left="644" w:hanging="397"/>
        <w:spacing w:after="0"/>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55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Access Industries Management, LLC</w:t>
      </w:r>
    </w:p>
    <w:p>
      <w:pPr>
        <w:spacing w:after="0" w:line="36" w:lineRule="exact"/>
        <w:rPr>
          <w:sz w:val="20"/>
          <w:szCs w:val="20"/>
          <w:color w:val="auto"/>
        </w:rPr>
      </w:pPr>
    </w:p>
    <w:p>
      <w:pPr>
        <w:ind w:left="644" w:hanging="397"/>
        <w:spacing w:after="0"/>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44"/>
        <w:spacing w:after="0" w:line="207" w:lineRule="exact"/>
        <w:tabs>
          <w:tab w:leader="none" w:pos="14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44" w:hanging="397"/>
        <w:spacing w:after="0"/>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4" w:hanging="397"/>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44" w:hanging="397"/>
        <w:spacing w:after="0"/>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44" w:hanging="397"/>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9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644" w:right="3760" w:hanging="487"/>
        <w:spacing w:after="0" w:line="339" w:lineRule="auto"/>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ind w:left="644" w:hanging="487"/>
        <w:spacing w:after="0"/>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6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44" w:right="5120" w:hanging="487"/>
        <w:spacing w:after="0" w:line="333" w:lineRule="auto"/>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14.95%</w:t>
      </w:r>
      <w:r>
        <w:rPr>
          <w:rFonts w:ascii="Arial" w:cs="Arial" w:eastAsia="Arial" w:hAnsi="Arial"/>
          <w:sz w:val="26"/>
          <w:szCs w:val="26"/>
          <w:color w:val="auto"/>
          <w:vertAlign w:val="superscript"/>
        </w:rPr>
        <w:t>(2)</w:t>
      </w:r>
    </w:p>
    <w:p>
      <w:pPr>
        <w:ind w:left="644" w:right="5960" w:hanging="487"/>
        <w:spacing w:after="0" w:line="540" w:lineRule="auto"/>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1" w:lineRule="exact"/>
        <w:rPr>
          <w:rFonts w:ascii="Arial" w:cs="Arial" w:eastAsia="Arial" w:hAnsi="Arial"/>
          <w:sz w:val="18"/>
          <w:szCs w:val="18"/>
          <w:color w:val="auto"/>
        </w:rPr>
      </w:pPr>
    </w:p>
    <w:p>
      <w:pPr>
        <w:ind w:left="444" w:hanging="444"/>
        <w:spacing w:after="0"/>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44" w:hanging="444"/>
        <w:spacing w:after="0" w:line="255" w:lineRule="auto"/>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22,375,242 shares of Common Stock consisting of (i) 22,171,161 shares of Common Stock outstanding as of June 15, 2023, as reported in the Issuer’s Prospectus Supplement pursuant to Rule 424(b)(5) filed with the SEC on June 15, 2023, and after giving effect to the Issuer’s offering of Common Stock, and (ii) shares of Common Stock underlying the Pre-Funded Warrants.</w:t>
      </w:r>
    </w:p>
    <w:p>
      <w:pPr>
        <w:sectPr>
          <w:pgSz w:w="11900" w:h="16838" w:orient="portrait"/>
          <w:cols w:equalWidth="0" w:num="1">
            <w:col w:w="10924"/>
          </w:cols>
          <w:pgMar w:left="436" w:top="490" w:right="5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254604101</w:t>
      </w:r>
    </w:p>
    <w:p>
      <w:pPr>
        <w:spacing w:after="0" w:line="266" w:lineRule="exact"/>
        <w:rPr>
          <w:sz w:val="20"/>
          <w:szCs w:val="20"/>
          <w:color w:val="auto"/>
        </w:rPr>
      </w:pPr>
    </w:p>
    <w:p>
      <w:pPr>
        <w:ind w:left="644" w:hanging="397"/>
        <w:spacing w:after="0"/>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55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Len Blavatnik</w:t>
      </w:r>
    </w:p>
    <w:p>
      <w:pPr>
        <w:spacing w:after="0" w:line="36" w:lineRule="exact"/>
        <w:rPr>
          <w:sz w:val="20"/>
          <w:szCs w:val="20"/>
          <w:color w:val="auto"/>
        </w:rPr>
      </w:pPr>
    </w:p>
    <w:p>
      <w:pPr>
        <w:ind w:left="644" w:hanging="397"/>
        <w:spacing w:after="0"/>
        <w:tabs>
          <w:tab w:leader="none" w:pos="6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44"/>
        <w:spacing w:after="0" w:line="207" w:lineRule="exact"/>
        <w:tabs>
          <w:tab w:leader="none" w:pos="14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44" w:hanging="397"/>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4" w:hanging="397"/>
        <w:spacing w:after="0"/>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44" w:hanging="397"/>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44" w:hanging="397"/>
        <w:spacing w:after="0"/>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64" w:hanging="440"/>
        <w:spacing w:after="0"/>
        <w:tabs>
          <w:tab w:leader="none" w:pos="21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1"/>
                <w:szCs w:val="11"/>
                <w:color w:val="auto"/>
              </w:rPr>
            </w:pPr>
          </w:p>
        </w:tc>
        <w:tc>
          <w:tcPr>
            <w:tcW w:w="8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644" w:right="3760" w:hanging="487"/>
        <w:spacing w:after="0" w:line="339" w:lineRule="auto"/>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ind w:left="644" w:hanging="487"/>
        <w:spacing w:after="0"/>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6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44" w:right="5120" w:hanging="487"/>
        <w:spacing w:after="0" w:line="333" w:lineRule="auto"/>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14.95%</w:t>
      </w:r>
      <w:r>
        <w:rPr>
          <w:rFonts w:ascii="Arial" w:cs="Arial" w:eastAsia="Arial" w:hAnsi="Arial"/>
          <w:sz w:val="26"/>
          <w:szCs w:val="26"/>
          <w:color w:val="auto"/>
          <w:vertAlign w:val="superscript"/>
        </w:rPr>
        <w:t>(2)</w:t>
      </w:r>
    </w:p>
    <w:p>
      <w:pPr>
        <w:ind w:left="644" w:right="5960" w:hanging="487"/>
        <w:spacing w:after="0" w:line="540" w:lineRule="auto"/>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1" w:lineRule="exact"/>
        <w:rPr>
          <w:rFonts w:ascii="Arial" w:cs="Arial" w:eastAsia="Arial" w:hAnsi="Arial"/>
          <w:sz w:val="18"/>
          <w:szCs w:val="18"/>
          <w:color w:val="auto"/>
        </w:rPr>
      </w:pPr>
    </w:p>
    <w:p>
      <w:pPr>
        <w:ind w:left="444" w:hanging="444"/>
        <w:spacing w:after="0"/>
        <w:tabs>
          <w:tab w:leader="none" w:pos="4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44" w:hanging="444"/>
        <w:spacing w:after="0" w:line="255" w:lineRule="auto"/>
        <w:tabs>
          <w:tab w:leader="none" w:pos="4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22,375,242 shares of Common Stock consisting of (i) 22,171,161 shares of Common Stock outstanding as of June 15, 2023, as reported in the Issuer’s Prospectus Supplement pursuant to Rule 424(b)(5) filed with the SEC on June 15, 2023, and after giving effect to the Issuer’s offering of Common Stock, and (ii) shares of Common Stock underlying the Pre-Funded Warrants.</w:t>
      </w:r>
    </w:p>
    <w:p>
      <w:pPr>
        <w:sectPr>
          <w:pgSz w:w="11900" w:h="16838" w:orient="portrait"/>
          <w:cols w:equalWidth="0" w:num="1">
            <w:col w:w="10924"/>
          </w:cols>
          <w:pgMar w:left="436" w:top="490"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CONTINUATION PAGES TO AMENDMENT NO. 2 TO SCHEDULE 13D</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Amendment No. 2 to Schedule 13D is being filed by AI DMI LLC (“AI DMI”), Access Industries Holdings LLC (“AIH”), Access Industries Management, LLC (“AIM”) and Len Blavatnik (collectively, the “Reporting Persons”, and each, a “Reporting Person”), in respect of the common stock, par value $0.0001 per share (the “Common Stock”), of Disc Medicine, Inc. (the “Issuer”). The shares of Common Stock of the Issuer are listed on the Nasdaq Global Market under the symbol “IRON.”</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Schedule 13D filed by the Reporting Persons with the Securities and Exchange Commission (the “SEC”) on January 9, 2023, as amended and supplemented by Amendment No. 1 to the Schedule 13D filed by the Reporting Persons with the SEC on February 17, 2023 (together, the “Schedule”), is hereby amended and supplemented by the Reporting Persons as set forth below in this Amendment No. 2.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 in the Schedule.</w:t>
      </w:r>
    </w:p>
    <w:p>
      <w:pPr>
        <w:spacing w:after="0" w:line="33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in Item 3 to the Schedule is hereby supplemented by adding the following at the end thereof:</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 June 16, 2023, AI DMI purchased 204,081 pre-funded warrants to purchase shares of Common Stock at $0.0001 per share, which are exercisable at any time or times on or after the date of the issuance, subject to an ownership limitation and clearance under the Hart-Scott-Rodino Antitrust Improvements Act of 1976, as amended, if applicable to avoid a violation thereof (the “Pre-Funded Warrants”), at a purchase price of $48.9999 per Pre-Funded Warrant pursuant to the prospectus filed with the SEC pursuant to Rule 424(b)(5) in a registered offering. AI DMI funded the purchase of such Pre-Funded Warrants using capital contributed from affiliated entities, which funded that capital using cash on hand.</w:t>
      </w:r>
    </w:p>
    <w:p>
      <w:pPr>
        <w:spacing w:after="0" w:line="3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to the Schedule is hereby amended and restated as follows:</w:t>
      </w:r>
    </w:p>
    <w:p>
      <w:pPr>
        <w:spacing w:after="0" w:line="117" w:lineRule="exact"/>
        <w:rPr>
          <w:sz w:val="20"/>
          <w:szCs w:val="20"/>
          <w:color w:val="auto"/>
        </w:rPr>
      </w:pPr>
    </w:p>
    <w:p>
      <w:pPr>
        <w:jc w:val="both"/>
        <w:ind w:left="440" w:right="40" w:hanging="4"/>
        <w:spacing w:after="0" w:line="263"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76"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9" w:lineRule="exact"/>
        <w:rPr>
          <w:sz w:val="20"/>
          <w:szCs w:val="20"/>
          <w:color w:val="auto"/>
        </w:rPr>
      </w:pPr>
    </w:p>
    <w:p>
      <w:pPr>
        <w:ind w:left="440" w:right="220"/>
        <w:spacing w:after="0" w:line="291" w:lineRule="auto"/>
        <w:rPr>
          <w:sz w:val="20"/>
          <w:szCs w:val="20"/>
          <w:color w:val="auto"/>
        </w:rPr>
      </w:pPr>
      <w:r>
        <w:rPr>
          <w:rFonts w:ascii="Arial" w:cs="Arial" w:eastAsia="Arial" w:hAnsi="Arial"/>
          <w:sz w:val="16"/>
          <w:szCs w:val="16"/>
          <w:color w:val="auto"/>
        </w:rPr>
        <w:t>3,141,759 shares of Common Stock and 204,081 Pre-Funded Warrants are owned directly by AI DMI and may be deemed to be beneficially owned by AIH, AIM and Mr. Blavatnik because (i) Len Blavatnik controls AIM and holds a majority of the outstanding voting interests in AIH,</w:t>
      </w:r>
    </w:p>
    <w:p>
      <w:pPr>
        <w:ind w:left="440" w:hanging="4"/>
        <w:spacing w:after="0" w:line="255"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82" w:lineRule="exact"/>
        <w:rPr>
          <w:sz w:val="20"/>
          <w:szCs w:val="20"/>
          <w:color w:val="auto"/>
        </w:rPr>
      </w:pPr>
    </w:p>
    <w:p>
      <w:pPr>
        <w:ind w:left="440" w:right="900" w:hanging="4"/>
        <w:spacing w:after="0" w:line="375" w:lineRule="auto"/>
        <w:tabs>
          <w:tab w:leader="none" w:pos="6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transactions in the Issuer’s securities have been effected by Reporting Persons within the 60 days prior to this filing: The information set forth in Item 3 of this Schedule 13D is incorporated herein by reference.</w:t>
      </w:r>
    </w:p>
    <w:p>
      <w:pPr>
        <w:spacing w:after="0" w:line="1" w:lineRule="exact"/>
        <w:rPr>
          <w:rFonts w:ascii="Arial" w:cs="Arial" w:eastAsia="Arial" w:hAnsi="Arial"/>
          <w:sz w:val="18"/>
          <w:szCs w:val="18"/>
          <w:color w:val="auto"/>
        </w:rPr>
      </w:pPr>
    </w:p>
    <w:p>
      <w:pPr>
        <w:ind w:left="700" w:hanging="26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00"/>
          </w:cols>
          <w:pgMar w:left="440" w:top="490" w:right="459" w:bottom="1440" w:gutter="0" w:footer="0" w:header="0"/>
        </w:sectPr>
      </w:pPr>
    </w:p>
    <w:bookmarkStart w:id="6" w:name="page7"/>
    <w:bookmarkEnd w:id="6"/>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 of the Schedule is hereby supplemented by adding the following at the end thereof:</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AI DMI holds 204,081 Pre-Funded Warrants to purchase shares of Common Stock at $0.0001 per share. The Pre-Funded Warrants do not expire and are exercisable at any time or times on or after the date of the issuance, subject to an ownership limitation and clearance under the Hart-Scott-Rodino Antitrust Improvements Act of 1976, as amended, if applicable to avoid a violation thereof. The warrants may be exercised by payment of cash or by way of a cashless exercise, in which AI DMI will receive upon such exercise, the net number of shares of Common Stock determined according to the formula set forth in the Pre-Funded Warrant.</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description of the Pre-Funded Warrants does not purport to be complete and is qualified in its entirety by reference to the Form of Pre-Funded Warrant, which is filed as Exhibit 99.7 and incorporated herein by reference.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Lock-Up Agreement</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On June 9, 2023, AI DMI signed a lock-up agreement (the “Lock-Up Agreement”) under which it agreed, subject to certain exceptions, without the prior written consent of Morgan Stanley &amp; Co. LLC, SVB Securities LLC, Stifel, Nicolaus &amp; Company, Incorporated and BMO Capital Markets Corp, not to, during the period commencing on June 15, 2023, and ending 90 days thereafter,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exchangeable for shares of Common Stock subject to the Lock-Up Agreement.</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foregoing description of the Lock-Up Agreement does not purport to be complete and is qualified in its entirety by reference to the Form of Lock-Up Agreement, which is filed as Exhibit 99.8 and incorporated herein by reference.</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in Item 7 is hereby supplemented by adding the following in appropriate numerical order: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Exhibit</w:t>
            </w:r>
          </w:p>
        </w:tc>
        <w:tc>
          <w:tcPr>
            <w:tcW w:w="10200" w:type="dxa"/>
            <w:vAlign w:val="bottom"/>
          </w:tcPr>
          <w:p>
            <w:pPr>
              <w:ind w:left="220"/>
              <w:spacing w:after="0"/>
              <w:rPr>
                <w:sz w:val="20"/>
                <w:szCs w:val="20"/>
                <w:color w:val="auto"/>
              </w:rPr>
            </w:pPr>
            <w:r>
              <w:rPr>
                <w:rFonts w:ascii="Arial" w:cs="Arial" w:eastAsia="Arial" w:hAnsi="Arial"/>
                <w:sz w:val="14"/>
                <w:szCs w:val="14"/>
                <w:color w:val="auto"/>
              </w:rPr>
              <w:t>Description</w:t>
            </w:r>
          </w:p>
        </w:tc>
      </w:tr>
      <w:tr>
        <w:trPr>
          <w:trHeight w:val="295"/>
        </w:trPr>
        <w:tc>
          <w:tcPr>
            <w:tcW w:w="640" w:type="dxa"/>
            <w:vAlign w:val="bottom"/>
          </w:tcPr>
          <w:p>
            <w:pPr>
              <w:spacing w:after="0"/>
              <w:rPr>
                <w:sz w:val="20"/>
                <w:szCs w:val="20"/>
                <w:color w:val="auto"/>
              </w:rPr>
            </w:pPr>
            <w:r>
              <w:rPr>
                <w:rFonts w:ascii="Arial" w:cs="Arial" w:eastAsia="Arial" w:hAnsi="Arial"/>
                <w:sz w:val="18"/>
                <w:szCs w:val="18"/>
                <w:color w:val="auto"/>
              </w:rPr>
              <w:t>99.7</w:t>
            </w:r>
          </w:p>
        </w:tc>
        <w:tc>
          <w:tcPr>
            <w:tcW w:w="10200" w:type="dxa"/>
            <w:vAlign w:val="bottom"/>
          </w:tcPr>
          <w:p>
            <w:pPr>
              <w:ind w:left="220"/>
              <w:spacing w:after="0"/>
              <w:rPr>
                <w:sz w:val="20"/>
                <w:szCs w:val="20"/>
                <w:color w:val="auto"/>
              </w:rPr>
            </w:pPr>
            <w:r>
              <w:rPr>
                <w:rFonts w:ascii="Arial" w:cs="Arial" w:eastAsia="Arial" w:hAnsi="Arial"/>
                <w:sz w:val="18"/>
                <w:szCs w:val="18"/>
                <w:color w:val="auto"/>
                <w:w w:val="91"/>
              </w:rPr>
              <w:t>Form of Pre-Funded Warrant (incorporated by reference to Exhibit 4.1 to the Issuer’s Current Report on Form 8-K filed with the Securities</w:t>
            </w:r>
          </w:p>
        </w:tc>
      </w:tr>
      <w:tr>
        <w:trPr>
          <w:trHeight w:val="230"/>
        </w:trPr>
        <w:tc>
          <w:tcPr>
            <w:tcW w:w="640" w:type="dxa"/>
            <w:vAlign w:val="bottom"/>
          </w:tcPr>
          <w:p>
            <w:pPr>
              <w:spacing w:after="0"/>
              <w:rPr>
                <w:sz w:val="20"/>
                <w:szCs w:val="20"/>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and Exchange Commission on June 16, 2023).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99.8</w:t>
            </w:r>
          </w:p>
        </w:tc>
        <w:tc>
          <w:tcPr>
            <w:tcW w:w="10200" w:type="dxa"/>
            <w:vAlign w:val="bottom"/>
          </w:tcPr>
          <w:p>
            <w:pPr>
              <w:ind w:left="220"/>
              <w:spacing w:after="0"/>
              <w:rPr>
                <w:sz w:val="20"/>
                <w:szCs w:val="20"/>
                <w:color w:val="auto"/>
              </w:rPr>
            </w:pPr>
            <w:r>
              <w:rPr>
                <w:rFonts w:ascii="Arial" w:cs="Arial" w:eastAsia="Arial" w:hAnsi="Arial"/>
                <w:sz w:val="18"/>
                <w:szCs w:val="18"/>
                <w:color w:val="auto"/>
                <w:w w:val="92"/>
              </w:rPr>
              <w:t>Form of Lock-Up Agreement (incorporated by reference to Exhibit A to the Underwriting Agreement, dated as of June 13, 2023, filed as</w:t>
            </w:r>
          </w:p>
        </w:tc>
      </w:tr>
      <w:tr>
        <w:trPr>
          <w:trHeight w:val="230"/>
        </w:trPr>
        <w:tc>
          <w:tcPr>
            <w:tcW w:w="640" w:type="dxa"/>
            <w:vAlign w:val="bottom"/>
          </w:tcPr>
          <w:p>
            <w:pPr>
              <w:spacing w:after="0"/>
              <w:rPr>
                <w:sz w:val="20"/>
                <w:szCs w:val="20"/>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w w:val="99"/>
              </w:rPr>
              <w:t>Exhibit 1.1 to the Issuer’s Current Report on Form 8-K filed with the Securities and Exchange Commission on June 16, 2023).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99.9</w:t>
            </w:r>
          </w:p>
        </w:tc>
        <w:tc>
          <w:tcPr>
            <w:tcW w:w="10200" w:type="dxa"/>
            <w:vAlign w:val="bottom"/>
          </w:tcPr>
          <w:p>
            <w:pPr>
              <w:ind w:left="220"/>
              <w:spacing w:after="0"/>
              <w:rPr>
                <w:sz w:val="20"/>
                <w:szCs w:val="20"/>
                <w:color w:val="auto"/>
              </w:rPr>
            </w:pPr>
            <w:r>
              <w:rPr>
                <w:rFonts w:ascii="Arial" w:cs="Arial" w:eastAsia="Arial" w:hAnsi="Arial"/>
                <w:sz w:val="18"/>
                <w:szCs w:val="18"/>
                <w:color w:val="auto"/>
              </w:rPr>
              <w:t>Joint Filing Agreement, dated as of June 20, 2023.</w:t>
            </w:r>
          </w:p>
        </w:tc>
      </w:tr>
    </w:tbl>
    <w:p>
      <w:pPr>
        <w:sectPr>
          <w:pgSz w:w="11900" w:h="16838" w:orient="portrait"/>
          <w:cols w:equalWidth="0" w:num="1">
            <w:col w:w="10960"/>
          </w:cols>
          <w:pgMar w:left="440" w:top="486" w:right="49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June 20, 2023</w:t>
            </w:r>
          </w:p>
        </w:tc>
        <w:tc>
          <w:tcPr>
            <w:tcW w:w="5300" w:type="dxa"/>
            <w:vAlign w:val="bottom"/>
          </w:tcPr>
          <w:p>
            <w:pPr>
              <w:spacing w:after="0"/>
              <w:rPr>
                <w:sz w:val="20"/>
                <w:szCs w:val="20"/>
                <w:color w:val="auto"/>
              </w:rPr>
            </w:pP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AI DMI LLC</w:t>
            </w:r>
          </w:p>
        </w:tc>
        <w:tc>
          <w:tcPr>
            <w:tcW w:w="5300" w:type="dxa"/>
            <w:vAlign w:val="bottom"/>
          </w:tcPr>
          <w:p>
            <w:pPr>
              <w:ind w:left="12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720" w:type="dxa"/>
            <w:vAlign w:val="bottom"/>
          </w:tcPr>
          <w:p>
            <w:pPr>
              <w:spacing w:after="0"/>
              <w:rPr>
                <w:sz w:val="24"/>
                <w:szCs w:val="24"/>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Alejandro Moreno</w:t>
            </w:r>
          </w:p>
        </w:tc>
      </w:tr>
      <w:tr>
        <w:trPr>
          <w:trHeight w:val="195"/>
        </w:trPr>
        <w:tc>
          <w:tcPr>
            <w:tcW w:w="5720" w:type="dxa"/>
            <w:vAlign w:val="bottom"/>
          </w:tcPr>
          <w:p>
            <w:pPr>
              <w:spacing w:after="0"/>
              <w:rPr>
                <w:sz w:val="16"/>
                <w:szCs w:val="16"/>
                <w:color w:val="auto"/>
              </w:rPr>
            </w:pPr>
          </w:p>
        </w:tc>
        <w:tc>
          <w:tcPr>
            <w:tcW w:w="5300" w:type="dxa"/>
            <w:vAlign w:val="bottom"/>
          </w:tcPr>
          <w:p>
            <w:pPr>
              <w:ind w:left="12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5300" w:type="dxa"/>
            <w:vAlign w:val="bottom"/>
          </w:tcPr>
          <w:p>
            <w:pPr>
              <w:ind w:left="12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720" w:type="dxa"/>
            <w:vAlign w:val="bottom"/>
          </w:tcPr>
          <w:p>
            <w:pPr>
              <w:spacing w:after="0"/>
              <w:rPr>
                <w:sz w:val="24"/>
                <w:szCs w:val="24"/>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Alejandro Moreno</w:t>
            </w:r>
          </w:p>
        </w:tc>
      </w:tr>
      <w:tr>
        <w:trPr>
          <w:trHeight w:val="195"/>
        </w:trPr>
        <w:tc>
          <w:tcPr>
            <w:tcW w:w="5720" w:type="dxa"/>
            <w:vAlign w:val="bottom"/>
          </w:tcPr>
          <w:p>
            <w:pPr>
              <w:spacing w:after="0"/>
              <w:rPr>
                <w:sz w:val="16"/>
                <w:szCs w:val="16"/>
                <w:color w:val="auto"/>
              </w:rPr>
            </w:pPr>
          </w:p>
        </w:tc>
        <w:tc>
          <w:tcPr>
            <w:tcW w:w="5300" w:type="dxa"/>
            <w:vAlign w:val="bottom"/>
          </w:tcPr>
          <w:p>
            <w:pPr>
              <w:ind w:left="12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Alejandro Moreno</w:t>
            </w:r>
          </w:p>
        </w:tc>
      </w:tr>
      <w:tr>
        <w:trPr>
          <w:trHeight w:val="195"/>
        </w:trPr>
        <w:tc>
          <w:tcPr>
            <w:tcW w:w="5720" w:type="dxa"/>
            <w:vAlign w:val="bottom"/>
          </w:tcPr>
          <w:p>
            <w:pPr>
              <w:spacing w:after="0"/>
              <w:rPr>
                <w:sz w:val="16"/>
                <w:szCs w:val="16"/>
                <w:color w:val="auto"/>
              </w:rPr>
            </w:pPr>
          </w:p>
        </w:tc>
        <w:tc>
          <w:tcPr>
            <w:tcW w:w="5300" w:type="dxa"/>
            <w:vAlign w:val="bottom"/>
          </w:tcPr>
          <w:p>
            <w:pPr>
              <w:ind w:left="12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20" w:type="dxa"/>
            <w:vAlign w:val="bottom"/>
          </w:tcPr>
          <w:p>
            <w:pPr>
              <w:spacing w:after="0"/>
              <w:rPr>
                <w:sz w:val="24"/>
                <w:szCs w:val="24"/>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t>
            </w:r>
          </w:p>
        </w:tc>
      </w:tr>
      <w:tr>
        <w:trPr>
          <w:trHeight w:val="224"/>
        </w:trPr>
        <w:tc>
          <w:tcPr>
            <w:tcW w:w="572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Name: Leonard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224" w:right="800" w:hanging="224"/>
        <w:spacing w:after="0" w:line="277" w:lineRule="auto"/>
        <w:tabs>
          <w:tab w:leader="none" w:pos="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Schedule 13D pursuant to the Limited Power of Attorney executed on behalf of Mr. Blavatnik and filed herewith.</w:t>
      </w:r>
    </w:p>
    <w:p>
      <w:pPr>
        <w:spacing w:after="0" w:line="197"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14605</wp:posOffset>
            </wp:positionV>
            <wp:extent cx="2606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6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4"/>
          </w:cols>
          <w:pgMar w:left="436" w:top="49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owned by each of them, of Disc Medicine, Inc., a corporation incorporated under the laws of the State of Delaware. This Joint Filing Agreement shall be included as an exhibit to such Schedule 13D.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121" w:right="439" w:bottom="1440" w:gutter="0" w:footer="0" w:header="0"/>
        </w:sectPr>
      </w:pPr>
    </w:p>
    <w:bookmarkStart w:id="9" w:name="page10"/>
    <w:bookmarkEnd w:id="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 the undersigned hereby execute this Joint Filing Agreement as of the 20th day of June, 2023.</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AI DMI LLC</w:t>
            </w:r>
          </w:p>
        </w:tc>
        <w:tc>
          <w:tcPr>
            <w:tcW w:w="5520" w:type="dxa"/>
            <w:vAlign w:val="bottom"/>
          </w:tcPr>
          <w:p>
            <w:pPr>
              <w:ind w:left="4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50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Alejandro Moreno</w:t>
            </w:r>
          </w:p>
        </w:tc>
      </w:tr>
      <w:tr>
        <w:trPr>
          <w:trHeight w:val="195"/>
        </w:trPr>
        <w:tc>
          <w:tcPr>
            <w:tcW w:w="5500" w:type="dxa"/>
            <w:vAlign w:val="bottom"/>
          </w:tcPr>
          <w:p>
            <w:pPr>
              <w:spacing w:after="0"/>
              <w:rPr>
                <w:sz w:val="16"/>
                <w:szCs w:val="16"/>
                <w:color w:val="auto"/>
              </w:rPr>
            </w:pPr>
          </w:p>
        </w:tc>
        <w:tc>
          <w:tcPr>
            <w:tcW w:w="5520" w:type="dxa"/>
            <w:vAlign w:val="bottom"/>
          </w:tcPr>
          <w:p>
            <w:pPr>
              <w:ind w:left="4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5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5520" w:type="dxa"/>
            <w:vAlign w:val="bottom"/>
          </w:tcPr>
          <w:p>
            <w:pPr>
              <w:ind w:left="4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50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Alejandro Moreno</w:t>
            </w:r>
          </w:p>
        </w:tc>
      </w:tr>
      <w:tr>
        <w:trPr>
          <w:trHeight w:val="195"/>
        </w:trPr>
        <w:tc>
          <w:tcPr>
            <w:tcW w:w="5500" w:type="dxa"/>
            <w:vAlign w:val="bottom"/>
          </w:tcPr>
          <w:p>
            <w:pPr>
              <w:spacing w:after="0"/>
              <w:rPr>
                <w:sz w:val="16"/>
                <w:szCs w:val="16"/>
                <w:color w:val="auto"/>
              </w:rPr>
            </w:pPr>
          </w:p>
        </w:tc>
        <w:tc>
          <w:tcPr>
            <w:tcW w:w="5520" w:type="dxa"/>
            <w:vAlign w:val="bottom"/>
          </w:tcPr>
          <w:p>
            <w:pPr>
              <w:ind w:left="4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5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Alejandro Moreno</w:t>
            </w:r>
          </w:p>
        </w:tc>
      </w:tr>
      <w:tr>
        <w:trPr>
          <w:trHeight w:val="195"/>
        </w:trPr>
        <w:tc>
          <w:tcPr>
            <w:tcW w:w="5500" w:type="dxa"/>
            <w:vAlign w:val="bottom"/>
          </w:tcPr>
          <w:p>
            <w:pPr>
              <w:spacing w:after="0"/>
              <w:rPr>
                <w:sz w:val="16"/>
                <w:szCs w:val="16"/>
                <w:color w:val="auto"/>
              </w:rPr>
            </w:pPr>
          </w:p>
        </w:tc>
        <w:tc>
          <w:tcPr>
            <w:tcW w:w="5520" w:type="dxa"/>
            <w:vAlign w:val="bottom"/>
          </w:tcPr>
          <w:p>
            <w:pPr>
              <w:ind w:left="4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5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50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t>
            </w:r>
          </w:p>
        </w:tc>
      </w:tr>
      <w:tr>
        <w:trPr>
          <w:trHeight w:val="224"/>
        </w:trPr>
        <w:tc>
          <w:tcPr>
            <w:tcW w:w="5500" w:type="dxa"/>
            <w:vAlign w:val="bottom"/>
          </w:tcPr>
          <w:p>
            <w:pPr>
              <w:spacing w:after="0"/>
              <w:rPr>
                <w:sz w:val="19"/>
                <w:szCs w:val="19"/>
                <w:color w:val="auto"/>
              </w:rPr>
            </w:pPr>
          </w:p>
        </w:tc>
        <w:tc>
          <w:tcPr>
            <w:tcW w:w="5520" w:type="dxa"/>
            <w:vAlign w:val="bottom"/>
          </w:tcPr>
          <w:p>
            <w:pPr>
              <w:ind w:left="40"/>
              <w:spacing w:after="0"/>
              <w:rPr>
                <w:sz w:val="20"/>
                <w:szCs w:val="20"/>
                <w:color w:val="auto"/>
              </w:rPr>
            </w:pPr>
            <w:r>
              <w:rPr>
                <w:rFonts w:ascii="Arial" w:cs="Arial" w:eastAsia="Arial" w:hAnsi="Arial"/>
                <w:sz w:val="18"/>
                <w:szCs w:val="18"/>
                <w:color w:val="auto"/>
              </w:rPr>
              <w:t>Name: 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224" w:right="160" w:hanging="224"/>
        <w:spacing w:after="0" w:line="277" w:lineRule="auto"/>
        <w:tabs>
          <w:tab w:leader="none" w:pos="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Joint Filing Agreement pursuant to the Limited Power of Attorney executed on behalf of Mr. Blavatnik and filed herewith.</w:t>
      </w:r>
    </w:p>
    <w:p>
      <w:pPr>
        <w:spacing w:after="0" w:line="197"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14605</wp:posOffset>
            </wp:positionV>
            <wp:extent cx="2606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7" w:lineRule="exact"/>
        <w:rPr>
          <w:sz w:val="20"/>
          <w:szCs w:val="20"/>
          <w:color w:val="auto"/>
        </w:rPr>
      </w:pPr>
    </w:p>
    <w:p>
      <w:pPr>
        <w:ind w:left="6964"/>
        <w:spacing w:after="0"/>
        <w:rPr>
          <w:sz w:val="20"/>
          <w:szCs w:val="20"/>
          <w:color w:val="auto"/>
        </w:rPr>
      </w:pPr>
      <w:r>
        <w:rPr>
          <w:rFonts w:ascii="Arial" w:cs="Arial" w:eastAsia="Arial" w:hAnsi="Arial"/>
          <w:sz w:val="18"/>
          <w:szCs w:val="18"/>
          <w:color w:val="auto"/>
        </w:rPr>
        <w:t>Name: Alejandro Moreno</w:t>
      </w:r>
    </w:p>
    <w:p>
      <w:pPr>
        <w:spacing w:after="0" w:line="9" w:lineRule="exact"/>
        <w:rPr>
          <w:sz w:val="20"/>
          <w:szCs w:val="20"/>
          <w:color w:val="auto"/>
        </w:rPr>
      </w:pPr>
    </w:p>
    <w:p>
      <w:pPr>
        <w:ind w:left="6964"/>
        <w:spacing w:after="0"/>
        <w:rPr>
          <w:sz w:val="20"/>
          <w:szCs w:val="20"/>
          <w:color w:val="auto"/>
        </w:rPr>
      </w:pPr>
      <w:r>
        <w:rPr>
          <w:rFonts w:ascii="Arial" w:cs="Arial" w:eastAsia="Arial" w:hAnsi="Arial"/>
          <w:sz w:val="18"/>
          <w:szCs w:val="18"/>
          <w:color w:val="auto"/>
        </w:rPr>
        <w:t>Attorney-in-Fact</w:t>
      </w:r>
    </w:p>
    <w:sectPr>
      <w:pgSz w:w="11900" w:h="16838" w:orient="portrait"/>
      <w:cols w:equalWidth="0" w:num="1">
        <w:col w:w="11024"/>
      </w:cols>
      <w:pgMar w:left="436" w:top="4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bullet"/>
      <w:start w:val="1"/>
    </w:lvl>
  </w:abstractNum>
  <w:abstractNum w:abstractNumId="1">
    <w:nsid w:val="436C6125"/>
    <w:multiLevelType w:val="hybridMultilevel"/>
    <w:lvl w:ilvl="0">
      <w:lvlJc w:val="left"/>
      <w:lvlText w:val="2"/>
      <w:numFmt w:val="bullet"/>
      <w:start w:val="1"/>
    </w:lvl>
  </w:abstractNum>
  <w:abstractNum w:abstractNumId="2">
    <w:nsid w:val="628C895D"/>
    <w:multiLevelType w:val="hybridMultilevel"/>
    <w:lvl w:ilvl="0">
      <w:lvlJc w:val="left"/>
      <w:lvlText w:val="3"/>
      <w:numFmt w:val="bullet"/>
      <w:start w:val="1"/>
    </w:lvl>
  </w:abstractNum>
  <w:abstractNum w:abstractNumId="3">
    <w:nsid w:val="333AB105"/>
    <w:multiLevelType w:val="hybridMultilevel"/>
    <w:lvl w:ilvl="0">
      <w:lvlJc w:val="left"/>
      <w:lvlText w:val="4"/>
      <w:numFmt w:val="bullet"/>
      <w:start w:val="1"/>
    </w:lvl>
  </w:abstractNum>
  <w:abstractNum w:abstractNumId="4">
    <w:nsid w:val="721DA317"/>
    <w:multiLevelType w:val="hybridMultilevel"/>
    <w:lvl w:ilvl="0">
      <w:lvlJc w:val="left"/>
      <w:lvlText w:val="5"/>
      <w:numFmt w:val="bullet"/>
      <w:start w:val="1"/>
    </w:lvl>
  </w:abstractNum>
  <w:abstractNum w:abstractNumId="5">
    <w:nsid w:val="2443A858"/>
    <w:multiLevelType w:val="hybridMultilevel"/>
    <w:lvl w:ilvl="0">
      <w:lvlJc w:val="left"/>
      <w:lvlText w:val="6"/>
      <w:numFmt w:val="bullet"/>
      <w:start w:val="1"/>
    </w:lvl>
  </w:abstractNum>
  <w:abstractNum w:abstractNumId="6">
    <w:nsid w:val="2D1D5AE9"/>
    <w:multiLevelType w:val="hybridMultilevel"/>
    <w:lvl w:ilvl="0">
      <w:lvlJc w:val="left"/>
      <w:lvlText w:val="%1"/>
      <w:numFmt w:val="decimal"/>
      <w:start w:val="1"/>
    </w:lvl>
    <w:lvl w:ilvl="1">
      <w:lvlJc w:val="left"/>
      <w:lvlText w:val="%2"/>
      <w:numFmt w:val="decimal"/>
      <w:start w:val="11"/>
    </w:lvl>
  </w:abstractNum>
  <w:abstractNum w:abstractNumId="7">
    <w:nsid w:val="6763845E"/>
    <w:multiLevelType w:val="hybridMultilevel"/>
    <w:lvl w:ilvl="0">
      <w:lvlJc w:val="left"/>
      <w:lvlText w:val="(%1)"/>
      <w:numFmt w:val="decimal"/>
      <w:start w:val="1"/>
    </w:lvl>
    <w:lvl w:ilvl="1">
      <w:lvlJc w:val="left"/>
      <w:lvlText w:val="%2"/>
      <w:numFmt w:val="decimal"/>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2"/>
      <w:numFmt w:val="bullet"/>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5"/>
      <w:numFmt w:val="bullet"/>
      <w:start w:val="1"/>
    </w:lvl>
  </w:abstractNum>
  <w:abstractNum w:abstractNumId="13">
    <w:nsid w:val="189A769B"/>
    <w:multiLevelType w:val="hybridMultilevel"/>
    <w:lvl w:ilvl="0">
      <w:lvlJc w:val="left"/>
      <w:lvlText w:val="6"/>
      <w:numFmt w:val="bullet"/>
      <w:start w:val="1"/>
    </w:lvl>
  </w:abstractNum>
  <w:abstractNum w:abstractNumId="14">
    <w:nsid w:val="54E49EB4"/>
    <w:multiLevelType w:val="hybridMultilevel"/>
    <w:lvl w:ilvl="0">
      <w:lvlJc w:val="left"/>
      <w:lvlText w:val="7"/>
      <w:numFmt w:val="bullet"/>
      <w:start w:val="1"/>
    </w:lvl>
  </w:abstractNum>
  <w:abstractNum w:abstractNumId="15">
    <w:nsid w:val="71F32454"/>
    <w:multiLevelType w:val="hybridMultilevel"/>
    <w:lvl w:ilvl="0">
      <w:lvlJc w:val="left"/>
      <w:lvlText w:val="%1"/>
      <w:numFmt w:val="decimal"/>
      <w:start w:val="1"/>
    </w:lvl>
    <w:lvl w:ilvl="1">
      <w:lvlJc w:val="left"/>
      <w:lvlText w:val="%2"/>
      <w:numFmt w:val="decimal"/>
      <w:start w:val="11"/>
    </w:lvl>
  </w:abstractNum>
  <w:abstractNum w:abstractNumId="16">
    <w:nsid w:val="2CA88611"/>
    <w:multiLevelType w:val="hybridMultilevel"/>
    <w:lvl w:ilvl="0">
      <w:lvlJc w:val="left"/>
      <w:lvlText w:val="(%1)"/>
      <w:numFmt w:val="decimal"/>
      <w:start w:val="1"/>
    </w:lvl>
    <w:lvl w:ilvl="1">
      <w:lvlJc w:val="left"/>
      <w:lvlText w:val="%2"/>
      <w:numFmt w:val="decimal"/>
      <w:start w:val="1"/>
    </w:lvl>
  </w:abstractNum>
  <w:abstractNum w:abstractNumId="17">
    <w:nsid w:val="836C40E"/>
    <w:multiLevelType w:val="hybridMultilevel"/>
    <w:lvl w:ilvl="0">
      <w:lvlJc w:val="left"/>
      <w:lvlText w:val="1"/>
      <w:numFmt w:val="bullet"/>
      <w:start w:val="1"/>
    </w:lvl>
  </w:abstractNum>
  <w:abstractNum w:abstractNumId="18">
    <w:nsid w:val="2901D82"/>
    <w:multiLevelType w:val="hybridMultilevel"/>
    <w:lvl w:ilvl="0">
      <w:lvlJc w:val="left"/>
      <w:lvlText w:val="2"/>
      <w:numFmt w:val="bullet"/>
      <w:start w:val="1"/>
    </w:lvl>
  </w:abstractNum>
  <w:abstractNum w:abstractNumId="19">
    <w:nsid w:val="3A95F874"/>
    <w:multiLevelType w:val="hybridMultilevel"/>
    <w:lvl w:ilvl="0">
      <w:lvlJc w:val="left"/>
      <w:lvlText w:val="3"/>
      <w:numFmt w:val="bullet"/>
      <w:start w:val="1"/>
    </w:lvl>
  </w:abstractNum>
  <w:abstractNum w:abstractNumId="20">
    <w:nsid w:val="8138641"/>
    <w:multiLevelType w:val="hybridMultilevel"/>
    <w:lvl w:ilvl="0">
      <w:lvlJc w:val="left"/>
      <w:lvlText w:val="4"/>
      <w:numFmt w:val="bullet"/>
      <w:start w:val="1"/>
    </w:lvl>
  </w:abstractNum>
  <w:abstractNum w:abstractNumId="21">
    <w:nsid w:val="1E7FF521"/>
    <w:multiLevelType w:val="hybridMultilevel"/>
    <w:lvl w:ilvl="0">
      <w:lvlJc w:val="left"/>
      <w:lvlText w:val="5"/>
      <w:numFmt w:val="bullet"/>
      <w:start w:val="1"/>
    </w:lvl>
  </w:abstractNum>
  <w:abstractNum w:abstractNumId="22">
    <w:nsid w:val="7C3DBD3D"/>
    <w:multiLevelType w:val="hybridMultilevel"/>
    <w:lvl w:ilvl="0">
      <w:lvlJc w:val="left"/>
      <w:lvlText w:val="6"/>
      <w:numFmt w:val="bullet"/>
      <w:start w:val="1"/>
    </w:lvl>
  </w:abstractNum>
  <w:abstractNum w:abstractNumId="23">
    <w:nsid w:val="737B8DDC"/>
    <w:multiLevelType w:val="hybridMultilevel"/>
    <w:lvl w:ilvl="0">
      <w:lvlJc w:val="left"/>
      <w:lvlText w:val="%1"/>
      <w:numFmt w:val="decimal"/>
      <w:start w:val="1"/>
    </w:lvl>
    <w:lvl w:ilvl="1">
      <w:lvlJc w:val="left"/>
      <w:lvlText w:val="%2"/>
      <w:numFmt w:val="decimal"/>
      <w:start w:val="11"/>
    </w:lvl>
  </w:abstractNum>
  <w:abstractNum w:abstractNumId="24">
    <w:nsid w:val="6CEAF087"/>
    <w:multiLevelType w:val="hybridMultilevel"/>
    <w:lvl w:ilvl="0">
      <w:lvlJc w:val="left"/>
      <w:lvlText w:val="(%1)"/>
      <w:numFmt w:val="decimal"/>
      <w:start w:val="1"/>
    </w:lvl>
    <w:lvl w:ilvl="1">
      <w:lvlJc w:val="left"/>
      <w:lvlText w:val="%2"/>
      <w:numFmt w:val="decimal"/>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2"/>
      <w:numFmt w:val="bullet"/>
      <w:start w:val="1"/>
    </w:lvl>
  </w:abstractNum>
  <w:abstractNum w:abstractNumId="27">
    <w:nsid w:val="3006C83E"/>
    <w:multiLevelType w:val="hybridMultilevel"/>
    <w:lvl w:ilvl="0">
      <w:lvlJc w:val="left"/>
      <w:lvlText w:val="3"/>
      <w:numFmt w:val="bullet"/>
      <w:start w:val="1"/>
    </w:lvl>
  </w:abstractNum>
  <w:abstractNum w:abstractNumId="28">
    <w:nsid w:val="614FD4A1"/>
    <w:multiLevelType w:val="hybridMultilevel"/>
    <w:lvl w:ilvl="0">
      <w:lvlJc w:val="left"/>
      <w:lvlText w:val="4"/>
      <w:numFmt w:val="bullet"/>
      <w:start w:val="1"/>
    </w:lvl>
  </w:abstractNum>
  <w:abstractNum w:abstractNumId="29">
    <w:nsid w:val="419AC241"/>
    <w:multiLevelType w:val="hybridMultilevel"/>
    <w:lvl w:ilvl="0">
      <w:lvlJc w:val="left"/>
      <w:lvlText w:val="5"/>
      <w:numFmt w:val="bullet"/>
      <w:start w:val="1"/>
    </w:lvl>
  </w:abstractNum>
  <w:abstractNum w:abstractNumId="30">
    <w:nsid w:val="5577F8E1"/>
    <w:multiLevelType w:val="hybridMultilevel"/>
    <w:lvl w:ilvl="0">
      <w:lvlJc w:val="left"/>
      <w:lvlText w:val="6"/>
      <w:numFmt w:val="bullet"/>
      <w:start w:val="1"/>
    </w:lvl>
  </w:abstractNum>
  <w:abstractNum w:abstractNumId="31">
    <w:nsid w:val="440BADFC"/>
    <w:multiLevelType w:val="hybridMultilevel"/>
    <w:lvl w:ilvl="0">
      <w:lvlJc w:val="left"/>
      <w:lvlText w:val="7"/>
      <w:numFmt w:val="bullet"/>
      <w:start w:val="1"/>
    </w:lvl>
  </w:abstractNum>
  <w:abstractNum w:abstractNumId="32">
    <w:nsid w:val="5072367"/>
    <w:multiLevelType w:val="hybridMultilevel"/>
    <w:lvl w:ilvl="0">
      <w:lvlJc w:val="left"/>
      <w:lvlText w:val="%1"/>
      <w:numFmt w:val="decimal"/>
      <w:start w:val="1"/>
    </w:lvl>
    <w:lvl w:ilvl="1">
      <w:lvlJc w:val="left"/>
      <w:lvlText w:val="%2"/>
      <w:numFmt w:val="decimal"/>
      <w:start w:val="11"/>
    </w:lvl>
  </w:abstractNum>
  <w:abstractNum w:abstractNumId="33">
    <w:nsid w:val="3804823E"/>
    <w:multiLevelType w:val="hybridMultilevel"/>
    <w:lvl w:ilvl="0">
      <w:lvlJc w:val="left"/>
      <w:lvlText w:val="(%1)"/>
      <w:numFmt w:val="decimal"/>
      <w:start w:val="1"/>
    </w:lvl>
    <w:lvl w:ilvl="1">
      <w:lvlJc w:val="left"/>
      <w:lvlText w:val="%2"/>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lowerLetter"/>
      <w:start w:val="3"/>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2023-06-20T15:10:38Z</dcterms:created>
  <dcterms:modified xsi:type="dcterms:W3CDTF">2023-06-20T15:10:38Z</dcterms:modified>
</cp:coreProperties>
</file>