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On November 6, 2024 (the “Closing Date”), Disc Medicine, Inc. (the “Company”) and certain of its subsidiaries (collectively, the “Borrower”) entered into a Loan and Security Agreement (the “Loan Agreement”) with the lenders party thereto (the “Lenders”) and Hercules Capital, Inc., as administrative agent and collateral agent (the “Agent”). The Loan Agreement provides for up to $200.0 million of senior secured term loans available to Borrower in multiple tranches (the “Term Loan”) consisting of: (a) an initial $30.0 million advance funded on the Closing Date; (b) up to $30.0 million of additional advances that may be drawn on or prior to September 15, 2026; (c) up to $50.0 million of additional advances that may be drawn on or prior to December 15, 2026;</w:t>
      </w:r>
    </w:p>
    <w:p>
      <w:pPr>
        <w:spacing w:after="0" w:line="3" w:lineRule="exact"/>
        <w:rPr>
          <w:sz w:val="20"/>
          <w:szCs w:val="20"/>
          <w:color w:val="auto"/>
        </w:rPr>
      </w:pPr>
    </w:p>
    <w:p>
      <w:pPr>
        <w:ind w:right="4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Borrower’s achievement of the Tranche 2 Milestone (as defined in the Loan Agreement), up to $25.0 million of additional advances that may be drawn on or prior to June 15, 2027; (e) subject to Borrower’s achievement of the Tranche 3 Milestone (as defined in the Loan Agreement), up to $40.0 million of additional advances that may be drawn on or prior to December 15, 2027; and (f) subject to approval by the Lenders’ investment committees in their discretion, up to $25.0 million of additional advances that may be drawn by Borrower.</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Term Loan will mature on December 1, 2029. The outstanding principal balance of the Term Loan bears cash interest at a floating annual rate equal to the greater of (a) 8.25% and (b) the prime rate plus 1.75%. Borrower may elect to reduce the cash interest rate by up to 2.00% per annum, in which case, subject to the terms and conditions of the Loan Agreement, the principal balance of the Term Loan also will bear “payment-in-kind” interest (“PIK Interest”) at a rate equal to 1.10 times such interest reduction amount, and with the PIK Interest added to the outstanding principal balance of the Term Loan. The Term Loan is payable in monthly interest-only payments through December 1, 2028, or, if Borrower achieves the Tranche 3 Milestone (as defined in the Loan Agreement), the interest-only period will be extended through December 1, 2029. At the end of the interest-only period, borrowings under the Loan Agreement are repayable in monthly payments of principal and accrued interest until the maturity date.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Borrower's obligations under the Loan Agreement are secured, subject to customary permitted liens and other agreed-upon exceptions, by a first-priority perfected security interest in all of the tangible and intangible assets of the Borrower, other than intellectual property. The Loan Agreement includes customary repayment and prepayment terms, affirmative and negative covenants and representations and warranties. The Loan Agreement also includes customary events of default. Additionally, the Loan Agreement contains a minimum cash covenant that requires Borrower to maintain certain levels of cash in accounts subject to a control agreement in favor of the Agent at all times beginning on the first day on or after January 1, 2027 (or January 1, 2028, if Borrower achieves a certain milestone) on which the aggregate principal amount of the Term Loan advances is then more than $50.0 million; provided, however, the minimum cash covenant will be waived during all times that Borrower’s market capitalization is greater than or equal to $1.0 billion.</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reference to the full text of the Loan Agreement, which is filed herewith as Exhibit 10.1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hereby incorporated by reference into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November 8, 2024, the Company issued a press release regarding the Loan Agreement, a copy of which is furnished as Exhibit 99.1 to this Current Report on Form 8-K.</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Exhibit No.</w:t>
            </w:r>
          </w:p>
        </w:tc>
        <w:tc>
          <w:tcPr>
            <w:tcW w:w="240" w:type="dxa"/>
            <w:vAlign w:val="bottom"/>
          </w:tcPr>
          <w:p>
            <w:pPr>
              <w:spacing w:after="0"/>
              <w:rPr>
                <w:sz w:val="20"/>
                <w:szCs w:val="20"/>
                <w:color w:val="auto"/>
              </w:rPr>
            </w:pPr>
          </w:p>
        </w:tc>
        <w:tc>
          <w:tcPr>
            <w:tcW w:w="9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5"/>
        </w:trPr>
        <w:tc>
          <w:tcPr>
            <w:tcW w:w="10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Loan and Security Agreement, dated as of November 6, 2024, by and among Disc Medicine, Inc., the other Borrower party thereto, the</w:t>
            </w:r>
          </w:p>
        </w:tc>
        <w:tc>
          <w:tcPr>
            <w:tcW w:w="2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Lenders party thereto, and Hercules Capital, Inc.</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r>
      <w:tr>
        <w:trPr>
          <w:trHeight w:val="209"/>
        </w:trPr>
        <w:tc>
          <w:tcPr>
            <w:tcW w:w="10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issued by Disc Medicine, Inc. on November 8, 2024, furnished herewith</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 w:lineRule="exact"/>
        <w:rPr>
          <w:sz w:val="20"/>
          <w:szCs w:val="20"/>
          <w:color w:val="auto"/>
        </w:rPr>
      </w:pPr>
    </w:p>
    <w:p>
      <w:pPr>
        <w:ind w:left="1260" w:hanging="123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8" w:lineRule="exact"/>
        <w:rPr>
          <w:rFonts w:ascii="Times New Roman" w:cs="Times New Roman" w:eastAsia="Times New Roman" w:hAnsi="Times New Roman"/>
          <w:sz w:val="18"/>
          <w:szCs w:val="18"/>
          <w:color w:val="auto"/>
        </w:rPr>
      </w:pPr>
    </w:p>
    <w:p>
      <w:pPr>
        <w:ind w:left="200" w:right="20" w:hanging="192"/>
        <w:spacing w:after="0" w:line="282" w:lineRule="auto"/>
        <w:tabs>
          <w:tab w:leader="none" w:pos="3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54"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1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this exhibit because it is both (i) not material and (ii) is the type of information that the registrant treats as private or confidential. Triple asterisks denote omissions.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LOAN AND SECURITY AGREEMENT is made and dated as of November 6, 2024 and is entered into by and among DISC MEDICINE, INC., a Delaware corporation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its Subsidiaries (other than Excluded Subsidiaries and the MSC Subsidiary) (hereinafter individually and collectively referred to as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to this Agreement (collectively, referred to as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HERCULES CAPITAL, INC., a Maryland corporation, in its capacity as administrative agent and collateral agent for itself and Lenders (in such capacity, including any successors or assigns,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757"/>
        <w:spacing w:after="0" w:line="244" w:lineRule="auto"/>
        <w:tabs>
          <w:tab w:leader="none" w:pos="118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requested the Lenders make available to Borrower up to four (4) tranches (Tranche 1, Tranche 2, Tranche 3 and Tranche 4 (as defined herein)) of term loans in an aggregate principal amount of up to Two Hundred Million Dollars ($200,000,000) (collectively, the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are willing to make the Term Loan on the terms and conditions set forth in this Agreement.</w:t>
      </w:r>
    </w:p>
    <w:p>
      <w:pPr>
        <w:spacing w:after="0" w:line="202"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Borrower, Agent and the Lenders agree as follows:</w:t>
      </w:r>
    </w:p>
    <w:p>
      <w:pPr>
        <w:spacing w:after="0" w:line="20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u w:val="single" w:color="auto"/>
          <w:color w:val="auto"/>
        </w:rPr>
        <w:t>SECTION 1DEFINITIONS AND RULES OF CONSTRUCTION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Unless otherwise defined herein, the following capitalized terms shall have the following meanings:</w:t>
      </w:r>
    </w:p>
    <w:p>
      <w:pPr>
        <w:spacing w:after="0" w:line="20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Control Agreement(s)</w:t>
      </w:r>
      <w:r>
        <w:rPr>
          <w:rFonts w:ascii="Times New Roman" w:cs="Times New Roman" w:eastAsia="Times New Roman" w:hAnsi="Times New Roman"/>
          <w:sz w:val="21"/>
          <w:szCs w:val="21"/>
          <w:color w:val="auto"/>
        </w:rPr>
        <w:t>”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5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ACH Authorization</w:t>
      </w:r>
      <w:r>
        <w:rPr>
          <w:rFonts w:ascii="Times New Roman" w:cs="Times New Roman" w:eastAsia="Times New Roman" w:hAnsi="Times New Roman"/>
          <w:sz w:val="22"/>
          <w:szCs w:val="22"/>
          <w:color w:val="auto"/>
        </w:rPr>
        <w:t>” means the ACH Debit Authorization Agreement in substantially the form of Exhibit G, which account numbers shall be redacted for security purposes if and when filed publicly by the relevant Borrower.</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series of related transactions for the purpose of or resulting, directly or indirectly, in (a) the acquisition of all or substantially all of the assets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2"/>
          <w:szCs w:val="22"/>
          <w:color w:val="auto"/>
        </w:rPr>
        <w:t>a Person, or of any business, line of business or division or other unit of operation of a Person, (b) the acquisition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any product, product line or Intellectual Property of or from any other Person.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means a Term Loan Advance.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Date</w:t>
      </w:r>
      <w:r>
        <w:rPr>
          <w:rFonts w:ascii="Times New Roman" w:cs="Times New Roman" w:eastAsia="Times New Roman" w:hAnsi="Times New Roman"/>
          <w:sz w:val="22"/>
          <w:szCs w:val="22"/>
          <w:color w:val="auto"/>
        </w:rPr>
        <w:t>” means the funding date of any Advance.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Request</w:t>
      </w:r>
      <w:r>
        <w:rPr>
          <w:rFonts w:ascii="Times New Roman" w:cs="Times New Roman" w:eastAsia="Times New Roman" w:hAnsi="Times New Roman"/>
          <w:sz w:val="22"/>
          <w:szCs w:val="22"/>
          <w:color w:val="auto"/>
        </w:rPr>
        <w:t xml:space="preserve">” means a request for an Advance submitted by Borrower to Agent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which account numbers shall be redacted for security purposes if and when filed publicly by Borrower.</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(c) any Person ten percent (10%) or more of whose outstanding voting securities are directly or indirectly owned, controlled or held by another Person with power to vote such securities, or (d) any Person related by blood or marriage to any Person described in subsection (a), (b) or (c) of this definition.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Loan and Security Agreement, as amended, restated, amended and restated, supplemented or otherwise modified from time to time.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Date</w:t>
      </w:r>
      <w:r>
        <w:rPr>
          <w:rFonts w:ascii="Times New Roman" w:cs="Times New Roman" w:eastAsia="Times New Roman" w:hAnsi="Times New Roman"/>
          <w:sz w:val="22"/>
          <w:szCs w:val="22"/>
          <w:color w:val="auto"/>
        </w:rPr>
        <w:t>” means initially, December 1, 2028; provided however, that if the Tranche 3 Milestone is achieved, such date shall be extended to December 1, 2029.</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Approval Milestone</w:t>
      </w:r>
      <w:r>
        <w:rPr>
          <w:rFonts w:ascii="Times New Roman" w:cs="Times New Roman" w:eastAsia="Times New Roman" w:hAnsi="Times New Roman"/>
          <w:sz w:val="22"/>
          <w:szCs w:val="22"/>
          <w:color w:val="auto"/>
        </w:rPr>
        <w:t>” means the satisfaction of each of the following events: (a) no Default or Event of Default shall have occurred and be continuing, (b) Company shall have stated in Company’s public filings with the Securities and Exchange Commission (as confirmed by Agent in its reasonable discretion) that the FDA has approved the commercialization in the United States of bitopertin for indications related to the treatment of patients with Erythropoietic Porphyria, with a label claim that is generally consistent in all material respects with that sought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in Company’s New Drug Application filing, and (c) FDA’s approval of bitopertin shall remain effective.</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Person</w:t>
      </w:r>
      <w:r>
        <w:rPr>
          <w:rFonts w:ascii="Times New Roman" w:cs="Times New Roman" w:eastAsia="Times New Roman" w:hAnsi="Times New Roman"/>
          <w:sz w:val="22"/>
          <w:szCs w:val="22"/>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spacing w:after="0" w:line="181"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with respect to any Person, the board of directors or comparable governing body of such Person, or any subcommittee thereof, as applicable.</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Products</w:t>
      </w:r>
      <w:r>
        <w:rPr>
          <w:rFonts w:ascii="Times New Roman" w:cs="Times New Roman" w:eastAsia="Times New Roman" w:hAnsi="Times New Roman"/>
          <w:sz w:val="22"/>
          <w:szCs w:val="22"/>
          <w:color w:val="auto"/>
        </w:rPr>
        <w:t>”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 and remain material to its business.</w:t>
      </w:r>
    </w:p>
    <w:p>
      <w:pPr>
        <w:spacing w:after="0" w:line="17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Books</w:t>
      </w:r>
      <w:r>
        <w:rPr>
          <w:rFonts w:ascii="Times New Roman" w:cs="Times New Roman" w:eastAsia="Times New Roman" w:hAnsi="Times New Roman"/>
          <w:sz w:val="21"/>
          <w:szCs w:val="21"/>
          <w:color w:val="auto"/>
        </w:rPr>
        <w:t>”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5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Saturday, Sunday and any other day on which banking institutions in the State of California are closed for business.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all cash, cash equivalents and liquid funds.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at any reorganization, recapitalization, consolidation or merger (or similar transaction or series of related transactions) of Company, the sale or exchange of outstanding shares (or similar transaction or series of related transactions) of Company in which the holders of Company’s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Company is the surviving entity, (b) Borrower ceases to own, directly or indirectly, 100% of the ownership interests in each Subsidiary of such Borrower or Guarantor (except for mergers or consolidations of a Subsidiary into another Subsidiary or into Borrower or Guarantor, as applicable, or the dissolution of a Subsidiary, or other transaction, to the extent permitted hereunder) or (c) “change of control”, “fundamental change”, “make-whole fundamental change” or any comparable term under and as defined in any indenture governing any Permitted Convertible Debt has occurred.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IP</w:t>
      </w:r>
      <w:r>
        <w:rPr>
          <w:rFonts w:ascii="Times New Roman" w:cs="Times New Roman" w:eastAsia="Times New Roman" w:hAnsi="Times New Roman"/>
          <w:sz w:val="21"/>
          <w:szCs w:val="21"/>
          <w:color w:val="auto"/>
        </w:rPr>
        <w:t>” means any and all of the following, as they exist in and throughout the United States of America:</w:t>
      </w:r>
    </w:p>
    <w:p>
      <w:pPr>
        <w:spacing w:after="0" w:line="26" w:lineRule="exact"/>
        <w:rPr>
          <w:sz w:val="20"/>
          <w:szCs w:val="20"/>
          <w:color w:val="auto"/>
        </w:rPr>
      </w:pPr>
    </w:p>
    <w:p>
      <w:pPr>
        <w:jc w:val="both"/>
        <w:ind w:firstLine="8"/>
        <w:spacing w:after="0" w:line="231" w:lineRule="auto"/>
        <w:tabs>
          <w:tab w:leader="none" w:pos="35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Company IP; (b) improvements, continuations, continuations-in-part, divisions, provisionals or any substitute applications, any Patent issued with respect to any of the Current Company IP, any Patent right claiming the composition of matter of, or the method of making or using, the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Products; and (d) any and all IP Ancillary Rights specifically relating to any of the foregoing.</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means a certificate submitted by Borrower to Agent in substantially the form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w:t>
      </w:r>
    </w:p>
    <w:p>
      <w:pPr>
        <w:spacing w:after="0" w:line="18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means, as applied to any Person, any direct or indirect liability, contingent or otherwise, of that Person with respect to (i) any Indebtedness, lease, dividend, letter of credit or other obligation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License</w:t>
      </w:r>
      <w:r>
        <w:rPr>
          <w:rFonts w:ascii="Times New Roman" w:cs="Times New Roman" w:eastAsia="Times New Roman" w:hAnsi="Times New Roman"/>
          <w:sz w:val="22"/>
          <w:szCs w:val="22"/>
          <w:color w:val="auto"/>
        </w:rPr>
        <w:t>” means any written agreement granting any right to use any Copyright or Copyright registration, now owned or hereafter acquired by Borrower or in which Borrower now holds or hereafter acquires any interest.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all copyrights, whether registered or unregistered, held pursuant to the laws of the United States of America, any State thereof, or of any other country.</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 fact, event or condition that constitutes an Event of Default or that, with the giving of notice or the lapse of time, or both, would, unless cured or waived, constitute an Event of Default.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Accounts</w:t>
      </w:r>
      <w:r>
        <w:rPr>
          <w:rFonts w:ascii="Times New Roman" w:cs="Times New Roman" w:eastAsia="Times New Roman" w:hAnsi="Times New Roman"/>
          <w:sz w:val="22"/>
          <w:szCs w:val="22"/>
          <w:color w:val="auto"/>
        </w:rPr>
        <w:t>” means any “deposit accounts,” as such term is defined in the UCC, and includes any checking account, savings account, or certificate of deposit.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organized under the laws of the United States of America, any State thereof, the District of Columbia, or any other jurisdiction within the United States of America.</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Diligence Fee</w:t>
      </w:r>
      <w:r>
        <w:rPr>
          <w:rFonts w:ascii="Times New Roman" w:cs="Times New Roman" w:eastAsia="Times New Roman" w:hAnsi="Times New Roman"/>
          <w:sz w:val="22"/>
          <w:szCs w:val="22"/>
          <w:color w:val="auto"/>
        </w:rPr>
        <w:t>” means $75,000, which fee has been paid to the Agent and received by the Agent prior to the Closing Date and shall be deemed fully earned on such date regardless of the early termination of this Agreement and shall be applied in its entirety on the Closing Date towards the Lenders’ non-legal transaction costs and due diligence expenses.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of Term Charge</w:t>
      </w:r>
      <w:r>
        <w:rPr>
          <w:rFonts w:ascii="Times New Roman" w:cs="Times New Roman" w:eastAsia="Times New Roman" w:hAnsi="Times New Roman"/>
          <w:sz w:val="22"/>
          <w:szCs w:val="22"/>
          <w:color w:val="auto"/>
        </w:rPr>
        <w:t xml:space="preserve">” means any end of term charge payable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End of Term Charge Percentage</w:t>
      </w:r>
      <w:r>
        <w:rPr>
          <w:rFonts w:ascii="Times New Roman" w:cs="Times New Roman" w:eastAsia="Times New Roman" w:hAnsi="Times New Roman"/>
          <w:sz w:val="21"/>
          <w:szCs w:val="21"/>
          <w:color w:val="auto"/>
        </w:rPr>
        <w:t>” means, for any prepayment or repayment of a Term Loan Advance occurring</w:t>
      </w:r>
    </w:p>
    <w:p>
      <w:pPr>
        <w:spacing w:after="0" w:line="26" w:lineRule="exact"/>
        <w:rPr>
          <w:sz w:val="20"/>
          <w:szCs w:val="20"/>
          <w:color w:val="auto"/>
        </w:rPr>
      </w:pPr>
    </w:p>
    <w:p>
      <w:pPr>
        <w:ind w:firstLine="8"/>
        <w:spacing w:after="0" w:line="237" w:lineRule="auto"/>
        <w:tabs>
          <w:tab w:leader="none" w:pos="2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November 6, 2026, 3.95%; (ii) after November 6, 2026 and prior to November 6, 2028, 5.85%; and (iii) on or after November 6, 2028, 6.75%.</w:t>
      </w:r>
    </w:p>
    <w:p>
      <w:pPr>
        <w:spacing w:after="0" w:line="17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EP Clinical Milestone</w:t>
      </w:r>
      <w:r>
        <w:rPr>
          <w:rFonts w:ascii="Times New Roman" w:cs="Times New Roman" w:eastAsia="Times New Roman" w:hAnsi="Times New Roman"/>
          <w:sz w:val="21"/>
          <w:szCs w:val="21"/>
          <w:color w:val="auto"/>
        </w:rPr>
        <w:t>” means the satisfaction of each of the following events: (a) no Default or Event of Default shall have occurred and be continuing and (b) Company shall have stated in Company’s public filings with the Securities and Exchange Commission and delivered supporting documentation satisfactory to Agent (in each case, as determined by Agent in its reasonable discretion) that it has achieved the protocol specified primary endpoint(s) from a registrational trial evaluating bitopertin for the treatment of patients with Erythropoietic Porphyria which, taken together with other secondary endpoints and overall safety profile, support the submission of a New Drug Application as the next immediate step in development (as determined by Borrower’s executive team and Board of Directors and subject to Lenders’ reasonable verification).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the capital stock, partnership or limited liability company interest, or other equity securities or equity ownership interests of such Person.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regulations promulgated thereunder.</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w:t>
      </w:r>
      <w:r>
        <w:rPr>
          <w:rFonts w:ascii="Times New Roman" w:cs="Times New Roman" w:eastAsia="Times New Roman" w:hAnsi="Times New Roman"/>
          <w:sz w:val="22"/>
          <w:szCs w:val="22"/>
          <w:color w:val="auto"/>
        </w:rPr>
        <w:t xml:space="preserve">” means (a) any deposit account or securities account exclusively used as a trust, collateral, or escrow account, in each case (1) entered into in the ordinary course of business (2) where the applicable Borrower holds the funds exclusively for the benefit of an unaffiliated third party, (3) such funds are pledged or otherwise encumbered as permitted pursuant to </w:t>
      </w:r>
      <w:r>
        <w:rPr>
          <w:rFonts w:ascii="Times New Roman" w:cs="Times New Roman" w:eastAsia="Times New Roman" w:hAnsi="Times New Roman"/>
          <w:sz w:val="22"/>
          <w:szCs w:val="22"/>
          <w:u w:val="single" w:color="auto"/>
          <w:color w:val="auto"/>
        </w:rPr>
        <w:t>clauses (ii), (vi)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(xv)</w:t>
      </w:r>
      <w:r>
        <w:rPr>
          <w:rFonts w:ascii="Times New Roman" w:cs="Times New Roman" w:eastAsia="Times New Roman" w:hAnsi="Times New Roman"/>
          <w:sz w:val="22"/>
          <w:szCs w:val="22"/>
          <w:color w:val="auto"/>
        </w:rPr>
        <w:t xml:space="preserve"> of the definition of Permitted Liens, and (4) only to the extent required to be excluded pursuant to the underlying documents entered into in connection with such Permitted Liens, (b) any deposit account or securities account exclusively used to secure obligations permitted under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the definition of Permitted Indebtedness, and (c) any deposit account exclusively used for payroll, payroll taxes and other employee wage and benefit payments to or for any Borrower’s employees, collectively not to exceed the amount to be paid in the ordinary course of business in (x) the next six payroll cycles, during any period in which Borrower maintains Qualified Cash of at least $100,000,000, and (y) the next two payroll cycles, during any period in which Borrower maintains Qualified Cash less than $100,000,000, and (d) any deposit account or securities account located in jurisdictions outside of the United States (collectively, “</w:t>
      </w:r>
      <w:r>
        <w:rPr>
          <w:rFonts w:ascii="Times New Roman" w:cs="Times New Roman" w:eastAsia="Times New Roman" w:hAnsi="Times New Roman"/>
          <w:sz w:val="22"/>
          <w:szCs w:val="22"/>
          <w:u w:val="single" w:color="auto"/>
          <w:color w:val="auto"/>
        </w:rPr>
        <w:t>Foreign Accounts</w:t>
      </w:r>
      <w:r>
        <w:rPr>
          <w:rFonts w:ascii="Times New Roman" w:cs="Times New Roman" w:eastAsia="Times New Roman" w:hAnsi="Times New Roman"/>
          <w:sz w:val="22"/>
          <w:szCs w:val="22"/>
          <w:color w:val="auto"/>
        </w:rPr>
        <w:t>”) to the extent that the value of the property held in accounts described in this clause (d) does not exceed an amount equivalent to $1,000,000 United States dollars, in the aggregate for all such Foreign Accounts.</w:t>
      </w:r>
    </w:p>
    <w:p>
      <w:pPr>
        <w:spacing w:after="0" w:line="18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Subsidiaries</w:t>
      </w:r>
      <w:r>
        <w:rPr>
          <w:rFonts w:ascii="Times New Roman" w:cs="Times New Roman" w:eastAsia="Times New Roman" w:hAnsi="Times New Roman"/>
          <w:sz w:val="22"/>
          <w:szCs w:val="22"/>
          <w:color w:val="auto"/>
        </w:rPr>
        <w:t>” means all Foreign Subsidiaries that (a) generate in the aggregate less than 5.00% of the consolidated trailing twelve month revenue calculated in accordance with GAAP of the Company and its Subsidiaries as of the last day of the most recent fiscal month for which financial statements of the Company are available or (b) hold in the aggregate assets that constitute less than 5.00% of consolidated total assets of the Company and its Subsidiaries, at any time; provided that, if the consolidated trailing twelve month revenue calculated in accordance with GAAP or consolidated total assets of all Foreign Subsidiaries that would otherwise be an “Excluded Subsidiary” pursuant to clauses (a) and (b) above exceeds (i) 5.00% of the of the consolidated trailing twelve month revenue calculated in accordance with GAAP of the Company and its Subsidiaries for such fiscal month or (ii) 5.00% of consolidated total assets of the Company and its Subsidiaries, at any time, then Borrower shall designate in writing to the Agent one or more of such Foreign Subsidiaries to become a Borrower to the extent necessary to eliminate such excess.</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thereto or any other comparable Governmental Authority.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Laws</w:t>
      </w:r>
      <w:r>
        <w:rPr>
          <w:rFonts w:ascii="Times New Roman" w:cs="Times New Roman" w:eastAsia="Times New Roman" w:hAnsi="Times New Roman"/>
          <w:sz w:val="22"/>
          <w:szCs w:val="22"/>
          <w:color w:val="auto"/>
        </w:rPr>
        <w:t>” means all applicable statutes, rules, regulations, published guidance and Requirements of Law administered, implemented, enforced or issued by FDA or any comparable Governmental Authority.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ind w:firstLine="203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Health Care Program Laws</w:t>
      </w:r>
      <w:r>
        <w:rPr>
          <w:rFonts w:ascii="Times New Roman" w:cs="Times New Roman" w:eastAsia="Times New Roman" w:hAnsi="Times New Roman"/>
          <w:sz w:val="22"/>
          <w:szCs w:val="22"/>
          <w:color w:val="auto"/>
        </w:rPr>
        <w:t>”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and the Health Insurance Portability and Accountability Act of 1996 (42 U.S.C. §§ 1320d-1329d-8), as amended by the Health Information Technology for Economic and Clinical Health Act, enacted as Title XIII of the American Recovery and Reinvestment Act of 2009, Public Law 111-5 (collectively, “HIPAA”) or related regulations or other Requirements of Law applicable to Borrower that directly or indirectly govern the health care industry, programs of Governmental Authorities related to healthcare, health care professionals or other health care participants, or relationships among health care providers, suppliers, distributors, manufacturers and patients.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other than a Domestic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of America, as in effect from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time.</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Subsidiary of Borrower that enters into a Guaranty.</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a guaranty with respect to the Secured Obligations, in form and substance satisfactory to Agent that may be entered into from time to time, as the same may from time to time be amended, restated, modified or otherwise supplemented.</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at any date, means, without duplication, indebtedness of any kind, including (a) all indebtedness for borrowed money or the deferred purchase price of property or services (excluding trade credit entered into in the ordinary course of business due within ninety (90) days), including non-contingent reimbursement and other obligations with respect to surety bonds and letters of credit, (b) all obligations evidenced by notes, bonds, debentures or similar instruments, (c) all capital lease obligations, (d) equity securities of such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Facility Charge</w:t>
      </w:r>
      <w:r>
        <w:rPr>
          <w:rFonts w:ascii="Times New Roman" w:cs="Times New Roman" w:eastAsia="Times New Roman" w:hAnsi="Times New Roman"/>
          <w:sz w:val="22"/>
          <w:szCs w:val="22"/>
          <w:color w:val="auto"/>
        </w:rPr>
        <w:t xml:space="preserve">” means an amount equal to Eight Hundred Twenty-Five Thousand Dollars ($825,000), which is payable to the Lenders in accordance with </w:t>
      </w:r>
      <w:r>
        <w:rPr>
          <w:rFonts w:ascii="Times New Roman" w:cs="Times New Roman" w:eastAsia="Times New Roman" w:hAnsi="Times New Roman"/>
          <w:sz w:val="22"/>
          <w:szCs w:val="22"/>
          <w:u w:val="single" w:color="auto"/>
          <w:color w:val="auto"/>
        </w:rPr>
        <w:t>Section 4.1(i)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Test Date</w:t>
      </w:r>
      <w:r>
        <w:rPr>
          <w:rFonts w:ascii="Times New Roman" w:cs="Times New Roman" w:eastAsia="Times New Roman" w:hAnsi="Times New Roman"/>
          <w:sz w:val="22"/>
          <w:szCs w:val="22"/>
          <w:color w:val="auto"/>
        </w:rPr>
        <w:t>” means (a) January 1, 2027, if the aggregate original principal amount of the Term Loan Advances made hereunder is more than $50,000,000 before such date, (b) if clause (a) does not apply, the first date following January 1, 2027 on which the aggregate original principal amount of the Term Loan Advances made hereunder is more than $50,000,000, and (c) January 1, 2028, if (x) by such date the aggregate original principal amount of the Term Loan Advances made hereunder is more than $50,000,000, and (y) after the Closing Date and prior to January 1, 2027, the Borrower raises at least Two Hundred Fifty Million Dollars ($250,000,000) of unrestricted (including, not subject to any redemption, clawback, escrow or similar encumbrance or restriction) net new cash proceeds from the issuance of equity, Permitted Convertible Debt or upfront cash business development proceeds. For the avoidance of doubt, (i) the Initial Test Date shall not occur if the aggregate original principal amount of the Term Loan Advances made hereunder does not exceed $50,000,000 and (ii) foregoing clause (c) shall override foregoing clauses (a) and (b) in the case that more than one such clause shall be satisfied.</w:t>
      </w:r>
    </w:p>
    <w:p>
      <w:pPr>
        <w:spacing w:after="0" w:line="17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 any beneficial ownership (including stock,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Ancillary Right</w:t>
      </w:r>
      <w:r>
        <w:rPr>
          <w:rFonts w:ascii="Times New Roman" w:cs="Times New Roman" w:eastAsia="Times New Roman" w:hAnsi="Times New Roman"/>
          <w:sz w:val="22"/>
          <w:szCs w:val="22"/>
          <w:color w:val="auto"/>
        </w:rPr>
        <w: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Agreements</w:t>
      </w:r>
      <w:r>
        <w:rPr>
          <w:rFonts w:ascii="Times New Roman" w:cs="Times New Roman" w:eastAsia="Times New Roman" w:hAnsi="Times New Roman"/>
          <w:sz w:val="22"/>
          <w:szCs w:val="22"/>
          <w:color w:val="auto"/>
        </w:rPr>
        <w:t xml:space="preserve">” means for each Subsidiary (other than Excluded Subsidiaries and the MSC Subsidiary) required to join as a Borrower or as a Guarantor pursuant to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a completed and executed Joinder Agreement in substantially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means any Copyright License, Patent License, Trademark License or other license of rights or interests in respect of Company IP.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deed of trust, pledge, hypothecation, assignment for security, security interest, encumbrance, levy, lien or charge of any kind and any other security interest or other agreements or arrangements having a similar effect, whether voluntarily incurred or arising by operation of law or otherwise, against any property, any conditional sale or other title retention agreement, and any lease in the nature of a security interest.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the Advances made under this Agreement.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this Agreement, the promissory notes (if any), the ACH Authorization, the Account Control Agreements, the Joinder Agreements, each Guaranty delivered pursuant to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the Pledge Agreement and any other documents executed in connection with the Secured Obligations or the transactions contemplated hereby, as the same may from time to time be amended, modified, supplemented or restated.</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means, as of any date of determination, the product of (a) the number of outstanding shares of Common Stock publicly disclosed in the most recent filing of Company with the Securities and Exchange Commission as outstanding as of such date of determination and (b) the most recent closing price of Company’s Common Stock (as quoted on Bloomberg L.P.’s page or any successor page thereto of Bloomberg L.P. or if such page is not available, any other commercially available source).</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Agreement</w:t>
      </w:r>
      <w:r>
        <w:rPr>
          <w:rFonts w:ascii="Times New Roman" w:cs="Times New Roman" w:eastAsia="Times New Roman" w:hAnsi="Times New Roman"/>
          <w:sz w:val="22"/>
          <w:szCs w:val="22"/>
          <w:color w:val="auto"/>
        </w:rPr>
        <w:t>” means (a) the Material License, and (b) any license, agreement or other contractual arrangement the termination or cancellation thereof could be reasonably expected to result in a Material Adverse Effect, in the individual or in the aggregate.</w:t>
      </w:r>
    </w:p>
    <w:p>
      <w:pPr>
        <w:spacing w:after="0" w:line="17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License</w:t>
      </w:r>
      <w:r>
        <w:rPr>
          <w:rFonts w:ascii="Times New Roman" w:cs="Times New Roman" w:eastAsia="Times New Roman" w:hAnsi="Times New Roman"/>
          <w:sz w:val="21"/>
          <w:szCs w:val="21"/>
          <w:color w:val="auto"/>
        </w:rPr>
        <w:t>” means each of (a) License Agreement, dated September 13, 2019, between Company and AbbVie Deutschland GmbH &amp; Co, KG, (b) License Agreement, dated May 7, 2021( as amended on December 7, 2021, February 28, 2022, May 31, 2022 and October 19, 2022), by and among Company, F. Hoffmann-La Roche Ltd and Hoffmann-La Roche Inc. and (c) Exclusive License Agreement, dated January 19, 2023, between Company and Mabwell Therapeutics, Inc.</w:t>
      </w:r>
    </w:p>
    <w:p>
      <w:pPr>
        <w:spacing w:after="0" w:line="16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Regulatory Liabilities</w:t>
      </w:r>
      <w:r>
        <w:rPr>
          <w:rFonts w:ascii="Times New Roman" w:cs="Times New Roman" w:eastAsia="Times New Roman" w:hAnsi="Times New Roman"/>
          <w:sz w:val="22"/>
          <w:szCs w:val="22"/>
          <w:color w:val="auto"/>
        </w:rPr>
        <w:t>” means (i) any liabilities arising from the violation of Public Health Laws, Federal Health Care Program Laws, and other applicable comparable Requirements of Law (including FDA Laws and Federal Health Care Program Laws), including, but not limited to, withdrawal of approval, recall, revocation, suspension, import refusal and seizure of any Product, and (ii) any loss of recurring annual revenues as a result of any loss, suspension or limitation of any Registrations, which, in the case of each of clauses (i) and (ii), could reasonably be expected to result in a Material Adverse Effect.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Term Loan Amount</w:t>
      </w:r>
      <w:r>
        <w:rPr>
          <w:rFonts w:ascii="Times New Roman" w:cs="Times New Roman" w:eastAsia="Times New Roman" w:hAnsi="Times New Roman"/>
          <w:sz w:val="22"/>
          <w:szCs w:val="22"/>
          <w:color w:val="auto"/>
        </w:rPr>
        <w:t>” means Two Hundred Million and No/100 Dollars ($200,000,000).</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 means individually, each of the Approval Milestone, EP Clinical Milestone, Phase 2 Myelofibrosis Trial Milestone, Tranche 2 Milestone and/or Tranche 3 Milestone.</w:t>
      </w:r>
    </w:p>
    <w:p>
      <w:pPr>
        <w:spacing w:after="0" w:line="15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MSC Investment Conditions</w:t>
      </w:r>
      <w:r>
        <w:rPr>
          <w:rFonts w:ascii="Times New Roman" w:cs="Times New Roman" w:eastAsia="Times New Roman" w:hAnsi="Times New Roman"/>
          <w:sz w:val="21"/>
          <w:szCs w:val="21"/>
          <w:color w:val="auto"/>
        </w:rPr>
        <w:t>” means that Borrower maintains Qualified Cash in an amount equal to or greater than the lesser of (i) 100% of the aggregate outstanding Secured Obligations (inclusive of any Prepayment Charge and End of Term Charge that would be due and owing if the outstanding Term Loan Advances were prepaid at the time of measurement) or (ii) 100% of the consolidated Cash of Borrower and its Subsidiaries (other than Cash held in an Excluded Account).</w:t>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MSC Subsidiary</w:t>
      </w:r>
      <w:r>
        <w:rPr>
          <w:rFonts w:ascii="Times New Roman" w:cs="Times New Roman" w:eastAsia="Times New Roman" w:hAnsi="Times New Roman"/>
          <w:sz w:val="22"/>
          <w:szCs w:val="22"/>
          <w:color w:val="auto"/>
        </w:rPr>
        <w:t>” means Disc Medicine Securities Corp,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p>
    <w:p>
      <w:pPr>
        <w:spacing w:after="0" w:line="180" w:lineRule="exact"/>
        <w:rPr>
          <w:sz w:val="20"/>
          <w:szCs w:val="20"/>
          <w:color w:val="auto"/>
        </w:rPr>
      </w:pPr>
    </w:p>
    <w:p>
      <w:pPr>
        <w:ind w:right="58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Drug Application</w:t>
      </w:r>
      <w:r>
        <w:rPr>
          <w:rFonts w:ascii="Times New Roman" w:cs="Times New Roman" w:eastAsia="Times New Roman" w:hAnsi="Times New Roman"/>
          <w:sz w:val="22"/>
          <w:szCs w:val="22"/>
          <w:color w:val="auto"/>
        </w:rPr>
        <w:t>” means an application submitted to the FDA pursuant to 21 U.S.C. § 355 seeking authorization to market a new drug in the United States.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NIH</w:t>
      </w:r>
      <w:r>
        <w:rPr>
          <w:rFonts w:ascii="Times New Roman" w:cs="Times New Roman" w:eastAsia="Times New Roman" w:hAnsi="Times New Roman"/>
          <w:sz w:val="22"/>
          <w:szCs w:val="22"/>
          <w:color w:val="auto"/>
        </w:rPr>
        <w:t>” means the National Institutes of Health.</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Non-Disclosure Agreement</w:t>
      </w:r>
      <w:r>
        <w:rPr>
          <w:rFonts w:ascii="Times New Roman" w:cs="Times New Roman" w:eastAsia="Times New Roman" w:hAnsi="Times New Roman"/>
          <w:sz w:val="22"/>
          <w:szCs w:val="22"/>
          <w:color w:val="auto"/>
        </w:rPr>
        <w:t>” means that certain Confidential Disclosure Agreement by and between Company and Hercules Capital, Inc., dated as of August 23, 2024.</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Treasury Office of Foreign Assets Control.</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Lists</w:t>
      </w:r>
      <w:r>
        <w:rPr>
          <w:rFonts w:ascii="Times New Roman" w:cs="Times New Roman" w:eastAsia="Times New Roman" w:hAnsi="Times New Roman"/>
          <w:sz w:val="22"/>
          <w:szCs w:val="22"/>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with respect to any Person, (a) such Person’s certificate or articles of incorporation or formation, as the case may be, and (b) if such Person is (i) a corporation, its bylaws, (ii) a limited liability company, its limited liability company agreement (or similar agreement), and (c) a partnership, its partnership agreement (or similar agreement), each of the foregoing with all current amendments or modifications thereto.</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License</w:t>
      </w:r>
      <w:r>
        <w:rPr>
          <w:rFonts w:ascii="Times New Roman" w:cs="Times New Roman" w:eastAsia="Times New Roman" w:hAnsi="Times New Roman"/>
          <w:sz w:val="22"/>
          <w:szCs w:val="22"/>
          <w:color w:val="auto"/>
        </w:rPr>
        <w:t>” means any written agreement granting any right with respect to any invention on which a Patent is in existence or a Patent application is pending, in which agreement Borrower now holds or hereafter acquires any interest.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all letters patent of, or rights corresponding thereto, in the United States of America or in any other country, all registrations and recordings thereof, and all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applications for letters patent of, or rights corresponding thereto, in the United States of America, or any other country.</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means a completed certificate entitled “Perfection Certificate”, dated the Closing Date, delivered by Company to Agent, signed by Company (as amended pursuant to the terms of this Agreement).</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any Acquisition (including by way of merger) by Borrower which is conducted in accordance with the following requirements:</w:t>
      </w:r>
    </w:p>
    <w:p>
      <w:pPr>
        <w:spacing w:after="0" w:line="158" w:lineRule="exact"/>
        <w:rPr>
          <w:sz w:val="20"/>
          <w:szCs w:val="20"/>
          <w:color w:val="auto"/>
        </w:rPr>
      </w:pPr>
    </w:p>
    <w:p>
      <w:pPr>
        <w:jc w:val="both"/>
        <w:ind w:left="760" w:firstLine="1494"/>
        <w:spacing w:after="0" w:line="239" w:lineRule="auto"/>
        <w:tabs>
          <w:tab w:leader="none" w:pos="268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of (i) a business or Person located within the United States of America engaged in a line of business related to that of Borrower or its Subsidiaries or (ii) a product, product line or Intellectual Property (or the right to use, develop or sell the same (including through licensing)) related to the business of Borrower or its Subsidiaries;</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acquisition is structured as a stock acquisition, then the Person so acquired shall either (i) become a wholly-owned Subsidiary of Borrower or of a Subsidiary and Borrower shall comply, or cause such Subsidiary to comply, with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hereof or (ii) such Person shall be merged with and into Borrower (with Borrower being the surviving entity);</w:t>
      </w:r>
    </w:p>
    <w:p>
      <w:pPr>
        <w:spacing w:after="0" w:line="180" w:lineRule="exact"/>
        <w:rPr>
          <w:rFonts w:ascii="Times New Roman" w:cs="Times New Roman" w:eastAsia="Times New Roman" w:hAnsi="Times New Roman"/>
          <w:sz w:val="22"/>
          <w:szCs w:val="22"/>
          <w:color w:val="auto"/>
        </w:rPr>
      </w:pPr>
    </w:p>
    <w:p>
      <w:pPr>
        <w:jc w:val="both"/>
        <w:ind w:left="760" w:right="20" w:firstLine="1494"/>
        <w:spacing w:after="0" w:line="244" w:lineRule="auto"/>
        <w:tabs>
          <w:tab w:leader="none" w:pos="268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acquisition is structured as the acquisition of assets, such assets shall be acquired by Borrower or a newly-organized wholly-owned Subsidiary (in which event such Subsidiary shall comply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xml:space="preserve"> hereof), and shall be free and clear of Liens other than Permitted Liens;</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delivered to the Lenders not less than ten (10) days nor more than forty five</w:t>
      </w:r>
    </w:p>
    <w:p>
      <w:pPr>
        <w:spacing w:after="0" w:line="14" w:lineRule="exact"/>
        <w:rPr>
          <w:rFonts w:ascii="Times New Roman" w:cs="Times New Roman" w:eastAsia="Times New Roman" w:hAnsi="Times New Roman"/>
          <w:sz w:val="22"/>
          <w:szCs w:val="22"/>
          <w:color w:val="auto"/>
        </w:rPr>
      </w:pPr>
    </w:p>
    <w:p>
      <w:pPr>
        <w:jc w:val="both"/>
        <w:ind w:left="760" w:hanging="3"/>
        <w:spacing w:after="0" w:line="235" w:lineRule="auto"/>
        <w:tabs>
          <w:tab w:leader="none" w:pos="117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date of such acquisition, notice of such acquisition together with, to the extent available, pro forma projected financial information, copies of all material documents relating to such acquisition, and historical financial statements for such acquired entity, division or line of business;</w:t>
      </w:r>
    </w:p>
    <w:p>
      <w:pPr>
        <w:spacing w:after="0" w:line="177" w:lineRule="exact"/>
        <w:rPr>
          <w:rFonts w:ascii="Times New Roman" w:cs="Times New Roman" w:eastAsia="Times New Roman" w:hAnsi="Times New Roman"/>
          <w:sz w:val="22"/>
          <w:szCs w:val="22"/>
          <w:color w:val="auto"/>
        </w:rPr>
      </w:pPr>
    </w:p>
    <w:p>
      <w:pPr>
        <w:ind w:left="760" w:right="40" w:firstLine="1494"/>
        <w:spacing w:after="0" w:line="258" w:lineRule="auto"/>
        <w:tabs>
          <w:tab w:leader="none" w:pos="268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after such acquisition no Default or Event of Default shall have occurred and be continuing; and</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(i) at any time prior to the achievement of the Approval Milestone, shall not be greater than (x) Seven Million Five Hundred Thousand Dollars ($7,500,000) for any single acquisition or group of related acquisitions or (y) Ten Million Dollars ($10,000,000) for all such acquisitions during the term of this Agreement or (ii) at any time after the achievement of the Approval Milestone, shall not be greater than (x) Ten Million Dollars ($10,000,000) for any single acquisition or group of related acquisitions or (y) Twenty-Five Million Dollars</w:t>
      </w:r>
    </w:p>
    <w:p>
      <w:pPr>
        <w:spacing w:after="0" w:line="3"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($25,000,000) for all such acquisitions during the term of this Agreement; provided that acquisition consideration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jc w:val="both"/>
        <w:ind w:left="760"/>
        <w:spacing w:after="0" w:line="247" w:lineRule="auto"/>
        <w:rPr>
          <w:sz w:val="20"/>
          <w:szCs w:val="20"/>
          <w:color w:val="auto"/>
        </w:rPr>
      </w:pPr>
      <w:r>
        <w:rPr>
          <w:rFonts w:ascii="Times New Roman" w:cs="Times New Roman" w:eastAsia="Times New Roman" w:hAnsi="Times New Roman"/>
          <w:sz w:val="21"/>
          <w:szCs w:val="21"/>
          <w:color w:val="auto"/>
        </w:rPr>
        <w:t>funded by proceeds from the sale and issuance of Borrower’s Equity Interests in a transaction not resulting in a Change in Control, which sale and issuance has a primary purpose to fund such Acquisition, and which sale and issuance is consummated substantially contemporaneously with (and in any event, prior to, but no more than fifteen (15) days prior to) the consummation of such Acquisition, shall be disregarded in determining compliance with this clause (f); provided further, that for any Acquisition in which the consideration consists solely of Equity Interests of Borrower, the value of</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such Equity Interests shall be disregarded in determining compliance with this clause (f)</w:t>
      </w:r>
      <w:r>
        <w:rPr>
          <w:rFonts w:ascii="Times New Roman" w:cs="Times New Roman" w:eastAsia="Times New Roman" w:hAnsi="Times New Roman"/>
          <w:sz w:val="25"/>
          <w:szCs w:val="25"/>
          <w:color w:val="auto"/>
        </w:rPr>
        <w:t>.</w:t>
      </w:r>
    </w:p>
    <w:p>
      <w:pPr>
        <w:spacing w:after="0" w:line="19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Debt</w:t>
      </w:r>
      <w:r>
        <w:rPr>
          <w:rFonts w:ascii="Times New Roman" w:cs="Times New Roman" w:eastAsia="Times New Roman" w:hAnsi="Times New Roman"/>
          <w:sz w:val="22"/>
          <w:szCs w:val="22"/>
          <w:color w:val="auto"/>
        </w:rPr>
        <w:t>” means issuance by Company of convertible notes in an aggregate principal amount of not more than Three Hundred Million Dollars ($300,000,000); provided that such convertible notes shall (a) have a scheduled maturity date no earlier than one hundred eighty (180) days after the Term Loan Maturity Date, (b) be unsecured or secured, (c) not be guaranteed by any Subsidiary of Company that is not a Borrower or a guarantor of the Secured Obligations,</w:t>
      </w:r>
    </w:p>
    <w:p>
      <w:pPr>
        <w:spacing w:after="0" w:line="1" w:lineRule="exact"/>
        <w:rPr>
          <w:sz w:val="20"/>
          <w:szCs w:val="20"/>
          <w:color w:val="auto"/>
        </w:rPr>
      </w:pPr>
    </w:p>
    <w:p>
      <w:pPr>
        <w:jc w:val="both"/>
        <w:ind w:firstLine="8"/>
        <w:spacing w:after="0" w:line="245" w:lineRule="auto"/>
        <w:tabs>
          <w:tab w:leader="none" w:pos="32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 conversion, redemption and fundamental change terms that are usual and customary for convertible notes issued in public or “Rule 144A” offerings, (e) if secured, contain usual and customary subordination terms for public or “Rule 144A” offerings of senior subordinated convertible notes and (f) if secured, shall specifically designate this Agreement and all Secured Obligations as “designated senior indebtedness” or similar term so that the subordination terms referred to in clause (e) of this definition specifically refer to such notes as being subordinated to the Secured Obligations pursuant to such subordination terms.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760" w:right="20" w:firstLine="1494"/>
        <w:spacing w:after="0" w:line="258" w:lineRule="auto"/>
        <w:tabs>
          <w:tab w:leader="none" w:pos="26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in favor of the Lenders or Agent arising under this Agreement or any other Loan Document;</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Indebtedness existing on the Closing Date which is disclosed in </w:t>
      </w:r>
      <w:r>
        <w:rPr>
          <w:rFonts w:ascii="Times New Roman" w:cs="Times New Roman" w:eastAsia="Times New Roman" w:hAnsi="Times New Roman"/>
          <w:sz w:val="22"/>
          <w:szCs w:val="22"/>
          <w:u w:val="single" w:color="auto"/>
          <w:color w:val="auto"/>
        </w:rPr>
        <w:t>Schedule 1A</w:t>
      </w:r>
      <w:r>
        <w:rPr>
          <w:rFonts w:ascii="Times New Roman" w:cs="Times New Roman" w:eastAsia="Times New Roman" w:hAnsi="Times New Roman"/>
          <w:sz w:val="22"/>
          <w:szCs w:val="22"/>
          <w:color w:val="auto"/>
        </w:rPr>
        <w:t xml:space="preserve">, and (B) extensions, refinancings and renewals thereof permitted under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below;</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Indebtedness of up to $1,500,000 outstanding at any time, incurred in connection with the acquisition of Equipment or software or other intellectual property, provided such Indebtedness does not exceed the cost of the property financed with such Indebtedness and customary fees, expenses and taxes, and (B) extensions, refinancings and renewals thereof permitted under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to trade creditors incurred in the ordinary course of business (other than any trade credit that is past due for more than one hundred eighty (180) days), including Indebtedness incurred in the ordinary course of business with corporate credit cards;</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that also constitutes a Permitted Investment;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Indebtedness;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ind w:left="-360" w:right="20" w:firstLine="1494"/>
        <w:spacing w:after="0" w:line="258" w:lineRule="auto"/>
        <w:tabs>
          <w:tab w:leader="none" w:pos="15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obligations in connection with letters of credit issued on behalf of Borrower or a Subsidiary thereof in an amount not to exceed $3,500,000 at any time outstanding;</w:t>
      </w:r>
    </w:p>
    <w:p>
      <w:pPr>
        <w:spacing w:after="0" w:line="158"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unsecured Indebtedness in an amount not to exceed $2,000,000 at any time outstanding;</w:t>
      </w:r>
    </w:p>
    <w:p>
      <w:pPr>
        <w:spacing w:after="0" w:line="217" w:lineRule="exact"/>
        <w:rPr>
          <w:rFonts w:ascii="Times New Roman" w:cs="Times New Roman" w:eastAsia="Times New Roman" w:hAnsi="Times New Roman"/>
          <w:sz w:val="21"/>
          <w:szCs w:val="21"/>
          <w:color w:val="auto"/>
        </w:rPr>
      </w:pPr>
    </w:p>
    <w:p>
      <w:pPr>
        <w:ind w:left="-360" w:firstLine="1494"/>
        <w:spacing w:after="0" w:line="282" w:lineRule="auto"/>
        <w:tabs>
          <w:tab w:leader="none" w:pos="156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Indebtedness as long as such Indebtedness (A) is owing from a Borrower to another Borrower, or (B) is owing from a Subsidiary to Borrower so long as such Indebtedness is a Permitted Investment;</w:t>
      </w:r>
    </w:p>
    <w:p>
      <w:pPr>
        <w:spacing w:after="0" w:line="134" w:lineRule="exact"/>
        <w:rPr>
          <w:rFonts w:ascii="Times New Roman" w:cs="Times New Roman" w:eastAsia="Times New Roman" w:hAnsi="Times New Roman"/>
          <w:sz w:val="21"/>
          <w:szCs w:val="21"/>
          <w:color w:val="auto"/>
        </w:rPr>
      </w:pPr>
    </w:p>
    <w:p>
      <w:pPr>
        <w:ind w:left="1560" w:hanging="426"/>
        <w:spacing w:after="0"/>
        <w:tabs>
          <w:tab w:leader="none" w:pos="15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Convertible Debt; and</w:t>
      </w:r>
    </w:p>
    <w:p>
      <w:pPr>
        <w:spacing w:after="0" w:line="206" w:lineRule="exact"/>
        <w:rPr>
          <w:rFonts w:ascii="Times New Roman" w:cs="Times New Roman" w:eastAsia="Times New Roman" w:hAnsi="Times New Roman"/>
          <w:sz w:val="22"/>
          <w:szCs w:val="22"/>
          <w:color w:val="auto"/>
        </w:rPr>
      </w:pPr>
    </w:p>
    <w:p>
      <w:pPr>
        <w:jc w:val="both"/>
        <w:ind w:left="-360" w:firstLine="1494"/>
        <w:spacing w:after="0" w:line="239" w:lineRule="auto"/>
        <w:tabs>
          <w:tab w:leader="none" w:pos="15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refinancings and renewals of any items of Permitted Indebtedness, provided that the principal amount is not increased (other than as a result of the capitalization of interest, fees or expenses) or the terms modified to impose materially more burdensome (taken as a whole) terms upon Borrower or its Subsidiary, as the case may be.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560" w:hanging="426"/>
        <w:spacing w:after="0"/>
        <w:tabs>
          <w:tab w:leader="none" w:pos="15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Closing Date which are disclosed in </w:t>
      </w:r>
      <w:r>
        <w:rPr>
          <w:rFonts w:ascii="Times New Roman" w:cs="Times New Roman" w:eastAsia="Times New Roman" w:hAnsi="Times New Roman"/>
          <w:sz w:val="22"/>
          <w:szCs w:val="22"/>
          <w:u w:val="single" w:color="auto"/>
          <w:color w:val="auto"/>
        </w:rPr>
        <w:t>Schedule 1B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60" w:firstLine="1494"/>
        <w:spacing w:after="0" w:line="237" w:lineRule="auto"/>
        <w:tabs>
          <w:tab w:leader="none" w:pos="156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marketable direct obligations issued or unconditionally guaranteed by the United States of America or any agency or any State thereof maturing within one (1)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maturing no more than one year from the date of investment therein, which either (x) are issued by any bank with assets of at least $500,000,000 or (y) are fully FDIC-insured, and (d) money market accounts;</w:t>
      </w:r>
    </w:p>
    <w:p>
      <w:pPr>
        <w:spacing w:after="0" w:line="181" w:lineRule="exact"/>
        <w:rPr>
          <w:rFonts w:ascii="Times New Roman" w:cs="Times New Roman" w:eastAsia="Times New Roman" w:hAnsi="Times New Roman"/>
          <w:sz w:val="22"/>
          <w:szCs w:val="22"/>
          <w:color w:val="auto"/>
        </w:rPr>
      </w:pPr>
    </w:p>
    <w:p>
      <w:pPr>
        <w:jc w:val="both"/>
        <w:ind w:left="-360" w:right="20" w:firstLine="1494"/>
        <w:spacing w:after="0" w:line="239" w:lineRule="auto"/>
        <w:tabs>
          <w:tab w:leader="none" w:pos="156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stock of Borrower from former employees, directors, or consultants of Borrower under the terms of applicable repurchase agreements at the original issuance price of such securities in an aggregate amount not to exceed $1,000,000 in any fiscal year, provided that no Event of Default has occurred, is continuing or could exist after giving effect to the repurchases;</w:t>
      </w:r>
    </w:p>
    <w:p>
      <w:pPr>
        <w:spacing w:after="0" w:line="180"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accepted in connection with Permitted Transfers;</w:t>
      </w:r>
    </w:p>
    <w:p>
      <w:pPr>
        <w:spacing w:after="0" w:line="206" w:lineRule="exact"/>
        <w:rPr>
          <w:rFonts w:ascii="Times New Roman" w:cs="Times New Roman" w:eastAsia="Times New Roman" w:hAnsi="Times New Roman"/>
          <w:sz w:val="22"/>
          <w:szCs w:val="22"/>
          <w:color w:val="auto"/>
        </w:rPr>
      </w:pPr>
    </w:p>
    <w:p>
      <w:pPr>
        <w:ind w:left="-360" w:firstLine="1494"/>
        <w:spacing w:after="0" w:line="244" w:lineRule="auto"/>
        <w:tabs>
          <w:tab w:leader="none" w:pos="156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7" w:name="page18"/>
    <w:bookmarkEnd w:id="17"/>
    <w:p>
      <w:pPr>
        <w:ind w:left="-360" w:right="20" w:firstLine="1494"/>
        <w:spacing w:after="0" w:line="258" w:lineRule="auto"/>
        <w:tabs>
          <w:tab w:leader="none" w:pos="15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w:t>
      </w:r>
    </w:p>
    <w:p>
      <w:pPr>
        <w:spacing w:after="0" w:line="158" w:lineRule="exact"/>
        <w:rPr>
          <w:rFonts w:ascii="Times New Roman" w:cs="Times New Roman" w:eastAsia="Times New Roman" w:hAnsi="Times New Roman"/>
          <w:sz w:val="22"/>
          <w:szCs w:val="22"/>
          <w:color w:val="auto"/>
        </w:rPr>
      </w:pPr>
    </w:p>
    <w:p>
      <w:pPr>
        <w:jc w:val="both"/>
        <w:ind w:left="-360" w:firstLine="1494"/>
        <w:spacing w:after="0" w:line="261" w:lineRule="auto"/>
        <w:tabs>
          <w:tab w:leader="none" w:pos="156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w:t>
      </w:r>
    </w:p>
    <w:p>
      <w:pPr>
        <w:spacing w:after="0" w:line="157" w:lineRule="exact"/>
        <w:rPr>
          <w:rFonts w:ascii="Times New Roman" w:cs="Times New Roman" w:eastAsia="Times New Roman" w:hAnsi="Times New Roman"/>
          <w:sz w:val="21"/>
          <w:szCs w:val="21"/>
          <w:color w:val="auto"/>
        </w:rPr>
      </w:pPr>
    </w:p>
    <w:p>
      <w:pPr>
        <w:ind w:left="2000" w:hanging="866"/>
        <w:spacing w:after="0"/>
        <w:tabs>
          <w:tab w:leader="none" w:pos="2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travel advances in the ordinary course of business;</w:t>
      </w:r>
    </w:p>
    <w:p>
      <w:pPr>
        <w:spacing w:after="0" w:line="206" w:lineRule="exact"/>
        <w:rPr>
          <w:rFonts w:ascii="Times New Roman" w:cs="Times New Roman" w:eastAsia="Times New Roman" w:hAnsi="Times New Roman"/>
          <w:sz w:val="22"/>
          <w:szCs w:val="22"/>
          <w:color w:val="auto"/>
        </w:rPr>
      </w:pPr>
    </w:p>
    <w:p>
      <w:pPr>
        <w:ind w:left="-360" w:right="60" w:firstLine="1494"/>
        <w:spacing w:after="0" w:line="258" w:lineRule="auto"/>
        <w:tabs>
          <w:tab w:leader="none" w:pos="15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the creation of newly-formed Subsidiaries which shall comply with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in Subsidiaries that are Borrowers or Guarantors;</w:t>
      </w:r>
    </w:p>
    <w:p>
      <w:pPr>
        <w:spacing w:after="0" w:line="158" w:lineRule="exact"/>
        <w:rPr>
          <w:rFonts w:ascii="Times New Roman" w:cs="Times New Roman" w:eastAsia="Times New Roman" w:hAnsi="Times New Roman"/>
          <w:sz w:val="22"/>
          <w:szCs w:val="22"/>
          <w:color w:val="auto"/>
        </w:rPr>
      </w:pPr>
    </w:p>
    <w:p>
      <w:pPr>
        <w:jc w:val="both"/>
        <w:ind w:left="-360" w:right="20" w:firstLine="1494"/>
        <w:spacing w:after="0" w:line="244" w:lineRule="auto"/>
        <w:tabs>
          <w:tab w:leader="none" w:pos="15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the creation of newly-formed Subsidiaries which shall comply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in Excluded Subsidiaries not to exceed $500,000 in the aggregate per month and $1,000,000 in the aggregate per fiscal year;</w:t>
      </w:r>
    </w:p>
    <w:p>
      <w:pPr>
        <w:spacing w:after="0" w:line="173" w:lineRule="exact"/>
        <w:rPr>
          <w:rFonts w:ascii="Times New Roman" w:cs="Times New Roman" w:eastAsia="Times New Roman" w:hAnsi="Times New Roman"/>
          <w:sz w:val="22"/>
          <w:szCs w:val="22"/>
          <w:color w:val="auto"/>
        </w:rPr>
      </w:pPr>
    </w:p>
    <w:p>
      <w:pPr>
        <w:jc w:val="both"/>
        <w:ind w:left="-360" w:firstLine="1494"/>
        <w:spacing w:after="0" w:line="244" w:lineRule="auto"/>
        <w:tabs>
          <w:tab w:leader="none" w:pos="15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MSC Subsidiary, so long as an Event of Default does not exist at the time of such Investment and would not exist after giving effect to such Investment and provided that Borrower is in compliance with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hereunder;</w:t>
      </w:r>
    </w:p>
    <w:p>
      <w:pPr>
        <w:spacing w:after="0" w:line="173" w:lineRule="exact"/>
        <w:rPr>
          <w:rFonts w:ascii="Times New Roman" w:cs="Times New Roman" w:eastAsia="Times New Roman" w:hAnsi="Times New Roman"/>
          <w:sz w:val="22"/>
          <w:szCs w:val="22"/>
          <w:color w:val="auto"/>
        </w:rPr>
      </w:pPr>
    </w:p>
    <w:p>
      <w:pPr>
        <w:jc w:val="both"/>
        <w:ind w:left="-360" w:firstLine="1494"/>
        <w:spacing w:after="0" w:line="238" w:lineRule="auto"/>
        <w:tabs>
          <w:tab w:leader="none" w:pos="15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$500,000 in the aggregate in any fiscal year and, provided, further, that, for the avoidance of doubt, any cost-sharing arrangements in connection with collaborative studies with third parties shall not be subject to any such limitation;</w:t>
      </w:r>
    </w:p>
    <w:p>
      <w:pPr>
        <w:spacing w:after="0" w:line="176"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jc w:val="both"/>
        <w:ind w:left="-360" w:right="20" w:firstLine="1494"/>
        <w:spacing w:after="0" w:line="282" w:lineRule="auto"/>
        <w:tabs>
          <w:tab w:leader="none" w:pos="200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pursuant to Borrower’s investment policy that has been provided to Agent prior to the Closing Date or any investment policy that has been approved in writing by Agent in its reasonable discretion; and</w:t>
      </w:r>
    </w:p>
    <w:p>
      <w:pPr>
        <w:spacing w:after="0" w:line="134" w:lineRule="exact"/>
        <w:rPr>
          <w:rFonts w:ascii="Times New Roman" w:cs="Times New Roman" w:eastAsia="Times New Roman" w:hAnsi="Times New Roman"/>
          <w:sz w:val="21"/>
          <w:szCs w:val="21"/>
          <w:color w:val="auto"/>
        </w:rPr>
      </w:pPr>
    </w:p>
    <w:p>
      <w:pPr>
        <w:ind w:left="1560" w:hanging="426"/>
        <w:spacing w:after="0"/>
        <w:tabs>
          <w:tab w:leader="none" w:pos="15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Investments that do not exceed $1,000,000 in the aggregate.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560" w:hanging="426"/>
        <w:spacing w:after="0"/>
        <w:tabs>
          <w:tab w:leader="none" w:pos="15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Agent or the Lenders;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which are disclosed in </w:t>
      </w:r>
      <w:r>
        <w:rPr>
          <w:rFonts w:ascii="Times New Roman" w:cs="Times New Roman" w:eastAsia="Times New Roman" w:hAnsi="Times New Roman"/>
          <w:sz w:val="22"/>
          <w:szCs w:val="22"/>
          <w:u w:val="single" w:color="auto"/>
          <w:color w:val="auto"/>
        </w:rPr>
        <w:t>Schedule 1C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8" w:name="page19"/>
    <w:bookmarkEnd w:id="18"/>
    <w:p>
      <w:pPr>
        <w:jc w:val="both"/>
        <w:ind w:left="-360" w:firstLine="1494"/>
        <w:spacing w:after="0" w:line="244"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p>
    <w:p>
      <w:pPr>
        <w:spacing w:after="0" w:line="173" w:lineRule="exact"/>
        <w:rPr>
          <w:rFonts w:ascii="Times New Roman" w:cs="Times New Roman" w:eastAsia="Times New Roman" w:hAnsi="Times New Roman"/>
          <w:sz w:val="22"/>
          <w:szCs w:val="22"/>
          <w:color w:val="auto"/>
        </w:rPr>
      </w:pPr>
    </w:p>
    <w:p>
      <w:pPr>
        <w:jc w:val="both"/>
        <w:ind w:left="-360" w:right="20" w:firstLine="1494"/>
        <w:spacing w:after="0" w:line="244"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73" w:lineRule="exact"/>
        <w:rPr>
          <w:rFonts w:ascii="Times New Roman" w:cs="Times New Roman" w:eastAsia="Times New Roman" w:hAnsi="Times New Roman"/>
          <w:sz w:val="22"/>
          <w:szCs w:val="22"/>
          <w:color w:val="auto"/>
        </w:rPr>
      </w:pPr>
    </w:p>
    <w:p>
      <w:pPr>
        <w:ind w:left="-360" w:firstLine="1494"/>
        <w:spacing w:after="0" w:line="258"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judgments, decrees or attachments in circumstances which do not constitute an Event of Default hereunder;</w:t>
      </w:r>
    </w:p>
    <w:p>
      <w:pPr>
        <w:spacing w:after="0" w:line="158" w:lineRule="exact"/>
        <w:rPr>
          <w:rFonts w:ascii="Times New Roman" w:cs="Times New Roman" w:eastAsia="Times New Roman" w:hAnsi="Times New Roman"/>
          <w:sz w:val="22"/>
          <w:szCs w:val="22"/>
          <w:color w:val="auto"/>
        </w:rPr>
      </w:pPr>
    </w:p>
    <w:p>
      <w:pPr>
        <w:jc w:val="both"/>
        <w:ind w:left="-360" w:firstLine="1494"/>
        <w:spacing w:after="0" w:line="236"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81" w:lineRule="exact"/>
        <w:rPr>
          <w:rFonts w:ascii="Times New Roman" w:cs="Times New Roman" w:eastAsia="Times New Roman" w:hAnsi="Times New Roman"/>
          <w:sz w:val="22"/>
          <w:szCs w:val="22"/>
          <w:color w:val="auto"/>
        </w:rPr>
      </w:pPr>
    </w:p>
    <w:p>
      <w:pPr>
        <w:ind w:left="-360" w:right="20" w:firstLine="1494"/>
        <w:spacing w:after="0" w:line="282" w:lineRule="auto"/>
        <w:tabs>
          <w:tab w:leader="none" w:pos="156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Equipment or software or other intellectual property constituting purchase money Liens and Liens in connection with capital leases securing Indebtedness permitted in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of “Permitted Indebtedness”;</w:t>
      </w:r>
    </w:p>
    <w:p>
      <w:pPr>
        <w:spacing w:after="0" w:line="134" w:lineRule="exact"/>
        <w:rPr>
          <w:rFonts w:ascii="Times New Roman" w:cs="Times New Roman" w:eastAsia="Times New Roman" w:hAnsi="Times New Roman"/>
          <w:sz w:val="21"/>
          <w:szCs w:val="21"/>
          <w:color w:val="auto"/>
        </w:rPr>
      </w:pPr>
    </w:p>
    <w:p>
      <w:pPr>
        <w:ind w:left="2000" w:hanging="866"/>
        <w:spacing w:after="0"/>
        <w:tabs>
          <w:tab w:leader="none" w:pos="20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Subordinated Indebtedness;</w:t>
      </w:r>
    </w:p>
    <w:p>
      <w:pPr>
        <w:spacing w:after="0" w:line="206" w:lineRule="exact"/>
        <w:rPr>
          <w:rFonts w:ascii="Times New Roman" w:cs="Times New Roman" w:eastAsia="Times New Roman" w:hAnsi="Times New Roman"/>
          <w:sz w:val="22"/>
          <w:szCs w:val="22"/>
          <w:color w:val="auto"/>
        </w:rPr>
      </w:pPr>
    </w:p>
    <w:p>
      <w:pPr>
        <w:ind w:left="-360" w:right="20" w:firstLine="1494"/>
        <w:spacing w:after="0" w:line="258"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leasehold interests in leases or subleases and licenses granted in the ordinary course of business and not interfering in any material respect with the business of the licensor;</w:t>
      </w:r>
    </w:p>
    <w:p>
      <w:pPr>
        <w:spacing w:after="0" w:line="158" w:lineRule="exact"/>
        <w:rPr>
          <w:rFonts w:ascii="Times New Roman" w:cs="Times New Roman" w:eastAsia="Times New Roman" w:hAnsi="Times New Roman"/>
          <w:sz w:val="22"/>
          <w:szCs w:val="22"/>
          <w:color w:val="auto"/>
        </w:rPr>
      </w:pPr>
    </w:p>
    <w:p>
      <w:pPr>
        <w:ind w:left="-360" w:right="20" w:firstLine="1494"/>
        <w:spacing w:after="0" w:line="258"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 duties that are promptly paid on or before the date they become due;</w:t>
      </w:r>
    </w:p>
    <w:p>
      <w:pPr>
        <w:spacing w:after="0" w:line="158" w:lineRule="exact"/>
        <w:rPr>
          <w:rFonts w:ascii="Times New Roman" w:cs="Times New Roman" w:eastAsia="Times New Roman" w:hAnsi="Times New Roman"/>
          <w:sz w:val="22"/>
          <w:szCs w:val="22"/>
          <w:color w:val="auto"/>
        </w:rPr>
      </w:pPr>
    </w:p>
    <w:p>
      <w:pPr>
        <w:jc w:val="both"/>
        <w:ind w:left="-360" w:firstLine="1494"/>
        <w:spacing w:after="0" w:line="244"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73" w:lineRule="exact"/>
        <w:rPr>
          <w:rFonts w:ascii="Times New Roman" w:cs="Times New Roman" w:eastAsia="Times New Roman" w:hAnsi="Times New Roman"/>
          <w:sz w:val="22"/>
          <w:szCs w:val="22"/>
          <w:color w:val="auto"/>
        </w:rPr>
      </w:pPr>
    </w:p>
    <w:p>
      <w:pPr>
        <w:ind w:left="-360" w:right="40" w:firstLine="1494"/>
        <w:spacing w:after="0" w:line="258" w:lineRule="auto"/>
        <w:tabs>
          <w:tab w:leader="none" w:pos="15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and common law rights of set-off and other similar rights as to deposits of cash and securities in favor of banks, other depository institutions and brokerage firms;</w:t>
      </w:r>
    </w:p>
    <w:p>
      <w:pPr>
        <w:spacing w:after="0" w:line="158" w:lineRule="exact"/>
        <w:rPr>
          <w:rFonts w:ascii="Times New Roman" w:cs="Times New Roman" w:eastAsia="Times New Roman" w:hAnsi="Times New Roman"/>
          <w:sz w:val="22"/>
          <w:szCs w:val="22"/>
          <w:color w:val="auto"/>
        </w:rPr>
      </w:pPr>
    </w:p>
    <w:p>
      <w:pPr>
        <w:jc w:val="both"/>
        <w:ind w:left="-360" w:firstLine="1494"/>
        <w:spacing w:after="0" w:line="244" w:lineRule="auto"/>
        <w:tabs>
          <w:tab w:leader="none" w:pos="200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9" w:name="page20"/>
    <w:bookmarkEnd w:id="19"/>
    <w:p>
      <w:pPr>
        <w:jc w:val="both"/>
        <w:ind w:firstLine="1494"/>
        <w:spacing w:after="0" w:line="244" w:lineRule="auto"/>
        <w:tabs>
          <w:tab w:leader="none" w:pos="23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Liens on Cash securing obligations permitted under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the definition of Permitted Indebtedness and (B) security deposits in connection with real property leases, the combination of (A) and (B) in an aggregate amount not to exceed $3,500,000 at any time outstanding;</w:t>
      </w:r>
    </w:p>
    <w:p>
      <w:pPr>
        <w:spacing w:after="0" w:line="173" w:lineRule="exact"/>
        <w:rPr>
          <w:rFonts w:ascii="Times New Roman" w:cs="Times New Roman" w:eastAsia="Times New Roman" w:hAnsi="Times New Roman"/>
          <w:sz w:val="22"/>
          <w:szCs w:val="22"/>
          <w:color w:val="auto"/>
        </w:rPr>
      </w:pPr>
    </w:p>
    <w:p>
      <w:pPr>
        <w:ind w:firstLine="1494"/>
        <w:spacing w:after="0" w:line="258"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securing corporate credit card obligations permitted under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of the definition of Permitted Indebtedness, in an aggregate amount not to exceed $500,000 outstanding at any time;</w:t>
      </w:r>
    </w:p>
    <w:p>
      <w:pPr>
        <w:spacing w:after="0" w:line="158" w:lineRule="exact"/>
        <w:rPr>
          <w:rFonts w:ascii="Times New Roman" w:cs="Times New Roman" w:eastAsia="Times New Roman" w:hAnsi="Times New Roman"/>
          <w:sz w:val="22"/>
          <w:szCs w:val="22"/>
          <w:color w:val="auto"/>
        </w:rPr>
      </w:pPr>
    </w:p>
    <w:p>
      <w:pPr>
        <w:jc w:val="both"/>
        <w:ind w:firstLine="1494"/>
        <w:spacing w:after="0" w:line="235" w:lineRule="auto"/>
        <w:tabs>
          <w:tab w:leader="none" w:pos="23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(subject to expansion by virtue of acquisition of property covered by a floating lien, so long as such expansion is within the parameters of such applicable clause (i) through (xi) above) and the principal amount of the Indebtedness being extended, renewed or refinanced (as may have been reduced by any payment thereon) does not increase, other than as a result of the capitalization of interest, premium, fees and expenses thereunder; and</w:t>
      </w:r>
    </w:p>
    <w:p>
      <w:pPr>
        <w:spacing w:after="0" w:line="183" w:lineRule="exact"/>
        <w:rPr>
          <w:rFonts w:ascii="Times New Roman" w:cs="Times New Roman" w:eastAsia="Times New Roman" w:hAnsi="Times New Roman"/>
          <w:sz w:val="22"/>
          <w:szCs w:val="22"/>
          <w:color w:val="auto"/>
        </w:rPr>
      </w:pPr>
    </w:p>
    <w:p>
      <w:pPr>
        <w:ind w:left="2360" w:hanging="866"/>
        <w:spacing w:after="0"/>
        <w:tabs>
          <w:tab w:leader="none" w:pos="23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comprised of Permitted Transfers.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920" w:hanging="426"/>
        <w:spacing w:after="0"/>
        <w:tabs>
          <w:tab w:leader="none" w:pos="1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Inventory in the ordinary course of business;</w:t>
      </w:r>
    </w:p>
    <w:p>
      <w:pPr>
        <w:spacing w:after="0" w:line="206" w:lineRule="exact"/>
        <w:rPr>
          <w:rFonts w:ascii="Times New Roman" w:cs="Times New Roman" w:eastAsia="Times New Roman" w:hAnsi="Times New Roman"/>
          <w:sz w:val="22"/>
          <w:szCs w:val="22"/>
          <w:color w:val="auto"/>
        </w:rPr>
      </w:pPr>
    </w:p>
    <w:p>
      <w:pPr>
        <w:jc w:val="both"/>
        <w:ind w:right="20" w:firstLine="1494"/>
        <w:spacing w:after="0" w:line="244"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sublicenses and similar arrangements for the use of Company IP of Borrower or Borrower Products and related assets in the ordinary course of business that could not result in a legal transfer of title of the licensed property;</w:t>
      </w:r>
    </w:p>
    <w:p>
      <w:pPr>
        <w:spacing w:after="0" w:line="173" w:lineRule="exact"/>
        <w:rPr>
          <w:rFonts w:ascii="Times New Roman" w:cs="Times New Roman" w:eastAsia="Times New Roman" w:hAnsi="Times New Roman"/>
          <w:sz w:val="22"/>
          <w:szCs w:val="22"/>
          <w:color w:val="auto"/>
        </w:rPr>
      </w:pPr>
    </w:p>
    <w:p>
      <w:pPr>
        <w:jc w:val="both"/>
        <w:ind w:firstLine="1494"/>
        <w:spacing w:after="0" w:line="235"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exclusive licenses, sublicenses and similar arrangements for the use of Company IP of Borrower or Borrower Products and related assets in the ordinary course of business that could not result in a legal transfer of title of the licensed property that is (a) exclusive as to territory solely outside the United States of America or (b) exclusive as to specific geographic regions or territories including the United States of America but only as such license, sublicense or similar arrangement relates to DISC-0974 for the treatment of chronic kidney disease; provided that each such license, sublicense or similar arrangement constitutes an arms-length transaction, the terms of which, on their face, do not provide for a sale or assignment by Borrower of any Company IP;</w:t>
      </w:r>
    </w:p>
    <w:p>
      <w:pPr>
        <w:spacing w:after="0" w:line="183"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worn-out, obsolete or surplus Equipment at fair market value in the ordinary course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w:t>
      </w:r>
    </w:p>
    <w:p>
      <w:pPr>
        <w:spacing w:after="0" w:line="182" w:lineRule="exact"/>
        <w:rPr>
          <w:rFonts w:ascii="Times New Roman" w:cs="Times New Roman" w:eastAsia="Times New Roman" w:hAnsi="Times New Roman"/>
          <w:sz w:val="21"/>
          <w:szCs w:val="21"/>
          <w:color w:val="auto"/>
        </w:rPr>
      </w:pPr>
    </w:p>
    <w:p>
      <w:pPr>
        <w:ind w:left="1920" w:hanging="426"/>
        <w:spacing w:after="0"/>
        <w:tabs>
          <w:tab w:leader="none" w:pos="1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by and among any Borrower;</w:t>
      </w:r>
    </w:p>
    <w:p>
      <w:pPr>
        <w:spacing w:after="0" w:line="206" w:lineRule="exact"/>
        <w:rPr>
          <w:rFonts w:ascii="Times New Roman" w:cs="Times New Roman" w:eastAsia="Times New Roman" w:hAnsi="Times New Roman"/>
          <w:sz w:val="22"/>
          <w:szCs w:val="22"/>
          <w:color w:val="auto"/>
        </w:rPr>
      </w:pPr>
    </w:p>
    <w:p>
      <w:pPr>
        <w:ind w:right="20" w:firstLine="1494"/>
        <w:spacing w:after="0" w:line="258"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or transfer of cash or cash equivalents in a manner that is not prohibited by the terms of this Agreement or the other Loan Documents and in the ordinary course of business;</w:t>
      </w:r>
    </w:p>
    <w:p>
      <w:pPr>
        <w:spacing w:after="0" w:line="200" w:lineRule="exact"/>
        <w:rPr>
          <w:sz w:val="20"/>
          <w:szCs w:val="20"/>
          <w:color w:val="auto"/>
        </w:rPr>
      </w:pPr>
    </w:p>
    <w:p>
      <w:pPr>
        <w:spacing w:after="0" w:line="3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0" w:name="page21"/>
    <w:bookmarkEnd w:id="20"/>
    <w:p>
      <w:pPr>
        <w:ind w:left="2260"/>
        <w:spacing w:after="0"/>
        <w:rPr>
          <w:sz w:val="20"/>
          <w:szCs w:val="20"/>
          <w:color w:val="auto"/>
        </w:rPr>
      </w:pPr>
      <w:r>
        <w:rPr>
          <w:rFonts w:ascii="Times New Roman" w:cs="Times New Roman" w:eastAsia="Times New Roman" w:hAnsi="Times New Roman"/>
          <w:sz w:val="22"/>
          <w:szCs w:val="22"/>
          <w:color w:val="auto"/>
        </w:rPr>
        <w:t>(vi) transfers consisting of Permitted Liens or Permitted Investments;</w:t>
      </w:r>
    </w:p>
    <w:p>
      <w:pPr>
        <w:spacing w:after="0" w:line="206" w:lineRule="exact"/>
        <w:rPr>
          <w:sz w:val="20"/>
          <w:szCs w:val="20"/>
          <w:color w:val="auto"/>
        </w:rPr>
      </w:pPr>
    </w:p>
    <w:p>
      <w:pPr>
        <w:ind w:left="3120" w:hanging="866"/>
        <w:spacing w:after="0"/>
        <w:tabs>
          <w:tab w:leader="none" w:pos="3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subleases of real property or the termination of real property leases in the ordinary course of</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ind w:left="2680" w:hanging="426"/>
        <w:spacing w:after="0"/>
        <w:tabs>
          <w:tab w:leader="none" w:pos="26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permitted under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right="20" w:firstLine="1494"/>
        <w:spacing w:after="0" w:line="244" w:lineRule="auto"/>
        <w:tabs>
          <w:tab w:leader="none" w:pos="268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licenses (exclusive or non-exclusive), dispositions and any other transactions solely relating to the assets (other than cash or cash equivalents) of Gemini Therapeutics, Inc. that existed prior to its merger with Company and are immaterial to the Borrower and any of its Subsidiaries; and</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transfers of assets having a fair market value of not more than $1,000,000 in the aggregate in</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fiscal year.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sole proprietorship, partnership, joint venture, trust, unincorporated organization, association, corporation, limited liability company, institution, other entity or government.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2 Myelofibrosis Trial Milestone</w:t>
      </w:r>
      <w:r>
        <w:rPr>
          <w:rFonts w:ascii="Times New Roman" w:cs="Times New Roman" w:eastAsia="Times New Roman" w:hAnsi="Times New Roman"/>
          <w:sz w:val="22"/>
          <w:szCs w:val="22"/>
          <w:color w:val="auto"/>
        </w:rPr>
        <w:t>” means Company shall have stated in Company’s public filings with the Securities and Exchange Commission and delivered supporting documentation satisfactory to Agent (as determined by Agent in its reasonable discretion) that it has achieved the protocol specified primary endpoint(s) from the Phase 2 trial evaluating DISC-0974 for the treatment of patients with myelofibrosis anemia which, taken together with other secondary endpoints and overall safety profile, support Company’s initiation of a pivotal trial as the next immediate step in development (as determined by Borrower’s executive team and Board of Directors and subject to Lenders’ reasonable verification).</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means the Pledge Agreement dated as of the Closing Date between each Borrower party thereto and Agent, as the same may from time to time be amended, restated, modified or otherwise supplemented.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as reported in The Wall Street Journal.</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Health Laws</w:t>
      </w:r>
      <w:r>
        <w:rPr>
          <w:rFonts w:ascii="Times New Roman" w:cs="Times New Roman" w:eastAsia="Times New Roman" w:hAnsi="Times New Roman"/>
          <w:sz w:val="21"/>
          <w:szCs w:val="21"/>
          <w:color w:val="auto"/>
        </w:rPr>
        <w:t>” means all Requirements of Law relating to the procurement, development, clinical and non-clinical evaluation, product approval or licensure, manufacture, production, analysis,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or any other FDA Laws, and all applicable regulations promulgated by the NIH and codified at Title 42 of the Code of Federal Regulations.</w:t>
      </w:r>
    </w:p>
    <w:p>
      <w:pPr>
        <w:spacing w:after="0" w:line="17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all products, software, service offerings, technical data or technology currently being designed, manufactured or sold by Borrower or any of its Subsidiaries or which Borrower or any of its Subsidiaries intends to sell, license, or distribute in the future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spacing w:after="0" w:line="244" w:lineRule="auto"/>
        <w:rPr>
          <w:sz w:val="20"/>
          <w:szCs w:val="20"/>
          <w:color w:val="auto"/>
        </w:rPr>
      </w:pPr>
      <w:r>
        <w:rPr>
          <w:rFonts w:ascii="Times New Roman" w:cs="Times New Roman" w:eastAsia="Times New Roman" w:hAnsi="Times New Roman"/>
          <w:sz w:val="22"/>
          <w:szCs w:val="22"/>
          <w:color w:val="auto"/>
        </w:rPr>
        <w:t>including any products or service offerings under development, collectively, together with all products, software, service offerings, technical data or technology that have been sold, licensed or distributed by Borrower or such Subsidiary since formation.</w:t>
      </w:r>
    </w:p>
    <w:p>
      <w:pPr>
        <w:spacing w:after="0" w:line="173" w:lineRule="exact"/>
        <w:rPr>
          <w:sz w:val="20"/>
          <w:szCs w:val="20"/>
          <w:color w:val="auto"/>
        </w:rPr>
      </w:pPr>
    </w:p>
    <w:p>
      <w:pPr>
        <w:ind w:right="46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Cash</w:t>
      </w:r>
      <w:r>
        <w:rPr>
          <w:rFonts w:ascii="Times New Roman" w:cs="Times New Roman" w:eastAsia="Times New Roman" w:hAnsi="Times New Roman"/>
          <w:sz w:val="22"/>
          <w:szCs w:val="22"/>
          <w:color w:val="auto"/>
        </w:rPr>
        <w:t>” means the amount of Borrower’s cash and cash equivalents held in accounts subject to an Account Control Agreement in favor of Agent.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Cash A/P Amount</w:t>
      </w:r>
      <w:r>
        <w:rPr>
          <w:rFonts w:ascii="Times New Roman" w:cs="Times New Roman" w:eastAsia="Times New Roman" w:hAnsi="Times New Roman"/>
          <w:sz w:val="22"/>
          <w:szCs w:val="22"/>
          <w:color w:val="auto"/>
        </w:rPr>
        <w:t>” means the amount of Borrower’s accounts payable that have not been paid within one hundred fifty (150) days from the due date of the relevant account payable, other than any such accounts payable that are being contested in good faith by appropriate proceedings and for which Borrower and its Subsidiaries maintain adequate reserves in accordance with GAAP.</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Conditions</w:t>
      </w:r>
      <w:r>
        <w:rPr>
          <w:rFonts w:ascii="Times New Roman" w:cs="Times New Roman" w:eastAsia="Times New Roman" w:hAnsi="Times New Roman"/>
          <w:sz w:val="22"/>
          <w:szCs w:val="22"/>
          <w:color w:val="auto"/>
        </w:rPr>
        <w:t xml:space="preserve">”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aggregate outstanding amount of the Secured Obligations (inclusive of any Prepayment Charge and End of Term Charge that would be due and owing if the outstanding Term Loan Advances were prepaid at the time of measurement)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Qualified Cash A/P Amount.</w:t>
      </w:r>
    </w:p>
    <w:p>
      <w:pPr>
        <w:spacing w:after="0" w:line="18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Registrations</w:t>
      </w:r>
      <w:r>
        <w:rPr>
          <w:rFonts w:ascii="Times New Roman" w:cs="Times New Roman" w:eastAsia="Times New Roman" w:hAnsi="Times New Roman"/>
          <w:sz w:val="21"/>
          <w:szCs w:val="21"/>
          <w:color w:val="auto"/>
        </w:rPr>
        <w:t>” means authorizations, approvals, licenses, permits, certificates, registrations, listings,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6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Action</w:t>
      </w:r>
      <w:r>
        <w:rPr>
          <w:rFonts w:ascii="Times New Roman" w:cs="Times New Roman" w:eastAsia="Times New Roman" w:hAnsi="Times New Roman"/>
          <w:sz w:val="22"/>
          <w:szCs w:val="22"/>
          <w:color w:val="auto"/>
        </w:rPr>
        <w:t>”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the holders of more than 50% of the sum of the aggregate unpaid principal amount of the Term Loan then outstanding.</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directives, requirements or requests of, any Governmental Authority, in each case that are applicable to or binding upon such Person or any of its property or to which such Person or any of its property is subject.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means, at any time, a country or territory which is the subject or target of any Sanctions.</w:t>
      </w:r>
    </w:p>
    <w:p>
      <w:pPr>
        <w:spacing w:after="0" w:line="21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SBA Funding Date</w:t>
      </w:r>
      <w:r>
        <w:rPr>
          <w:rFonts w:ascii="Times New Roman" w:cs="Times New Roman" w:eastAsia="Times New Roman" w:hAnsi="Times New Roman"/>
          <w:sz w:val="22"/>
          <w:szCs w:val="22"/>
          <w:color w:val="auto"/>
        </w:rPr>
        <w:t>” means each date on which a Lender which is an SBIC funds any portion of the 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Borrower’s obligations under this Agreement and any Loan Document, including any obligation to pay any amount now owing or later arising hereunder or thereunder.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Intermediary</w:t>
      </w:r>
      <w:r>
        <w:rPr>
          <w:rFonts w:ascii="Times New Roman" w:cs="Times New Roman" w:eastAsia="Times New Roman" w:hAnsi="Times New Roman"/>
          <w:sz w:val="22"/>
          <w:szCs w:val="22"/>
          <w:color w:val="auto"/>
        </w:rPr>
        <w:t>” means any “securities intermediary,” as such term is defined in the UCC.</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Indebtedness subordinated to the Secured Obligations in amounts and on terms and conditions reasonably satisfactory to Agent and subject to a subordination agreement in form and substance reasonably satisfactory to Agent.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an entity, whether corporation, partnership, limited liability company, joint venture or otherwise, in which Borrower owns or controls 50% or more of the outstanding voting securities, including each entity listed on part A of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hereto.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w:t>
      </w:r>
      <w:r>
        <w:rPr>
          <w:rFonts w:ascii="Times New Roman" w:cs="Times New Roman" w:eastAsia="Times New Roman" w:hAnsi="Times New Roman"/>
          <w:sz w:val="22"/>
          <w:szCs w:val="22"/>
          <w:color w:val="auto"/>
        </w:rPr>
        <w:t xml:space="preserve">” means as to any Lender, the obligation of such Lender, if any, to make a Term Loan Advance to Borrower in a principal amount not to exceed the amount set forth under the heading “Term Commitment” opposite such Lender’s name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Advance</w:t>
      </w:r>
      <w:r>
        <w:rPr>
          <w:rFonts w:ascii="Times New Roman" w:cs="Times New Roman" w:eastAsia="Times New Roman" w:hAnsi="Times New Roman"/>
          <w:sz w:val="22"/>
          <w:szCs w:val="22"/>
          <w:color w:val="auto"/>
        </w:rPr>
        <w:t>” means each Tranche 1 Advance, Tranche 2 Advance, Tranche 3 Advance, Tranche 4 Advance, and any other Term Loan funds advanced under this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Cash Interest Rate</w:t>
      </w:r>
      <w:r>
        <w:rPr>
          <w:rFonts w:ascii="Times New Roman" w:cs="Times New Roman" w:eastAsia="Times New Roman" w:hAnsi="Times New Roman"/>
          <w:sz w:val="22"/>
          <w:szCs w:val="22"/>
          <w:color w:val="auto"/>
        </w:rPr>
        <w:t>” means, for any day, a per annum rate of interest equal to the greater of either (i)</w:t>
      </w:r>
    </w:p>
    <w:p>
      <w:pPr>
        <w:spacing w:after="0" w:line="14" w:lineRule="exact"/>
        <w:rPr>
          <w:sz w:val="20"/>
          <w:szCs w:val="20"/>
          <w:color w:val="auto"/>
        </w:rPr>
      </w:pPr>
    </w:p>
    <w:p>
      <w:pPr>
        <w:ind w:right="20" w:firstLine="8"/>
        <w:spacing w:after="0" w:line="237" w:lineRule="auto"/>
        <w:tabs>
          <w:tab w:leader="none" w:pos="31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Prime Rate plus (y) 1.75%, and (ii) 8.25%; provided that the Term Loan Cash Interest Rate payable may be reduced from time to time in accordance with </w:t>
      </w:r>
      <w:r>
        <w:rPr>
          <w:rFonts w:ascii="Times New Roman" w:cs="Times New Roman" w:eastAsia="Times New Roman" w:hAnsi="Times New Roman"/>
          <w:sz w:val="22"/>
          <w:szCs w:val="22"/>
          <w:u w:val="single" w:color="auto"/>
          <w:color w:val="auto"/>
        </w:rPr>
        <w:t>Section 2.2(h)(iii)</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PIK Interest Rate</w:t>
      </w:r>
      <w:r>
        <w:rPr>
          <w:rFonts w:ascii="Times New Roman" w:cs="Times New Roman" w:eastAsia="Times New Roman" w:hAnsi="Times New Roman"/>
          <w:sz w:val="22"/>
          <w:szCs w:val="22"/>
          <w:color w:val="auto"/>
        </w:rPr>
        <w:t>” means, for any day, a per annum rate of interest equal to (a) during any PIK Deferral Period (x) the Cash Interest Reduction Amount multiplied by (y) 1.10, and (b) otherwise, 0.00%.</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Maturity Date</w:t>
      </w:r>
      <w:r>
        <w:rPr>
          <w:rFonts w:ascii="Times New Roman" w:cs="Times New Roman" w:eastAsia="Times New Roman" w:hAnsi="Times New Roman"/>
          <w:sz w:val="22"/>
          <w:szCs w:val="22"/>
          <w:color w:val="auto"/>
        </w:rPr>
        <w:t>” means December 1, 2029; provided however, that if such day is not a Business Day, the Term Loan Maturity Date shall be the immediately subsequent Business Day.</w:t>
      </w:r>
    </w:p>
    <w:p>
      <w:pPr>
        <w:spacing w:after="0" w:line="158" w:lineRule="exact"/>
        <w:rPr>
          <w:sz w:val="20"/>
          <w:szCs w:val="20"/>
          <w:color w:val="auto"/>
        </w:rPr>
      </w:pPr>
    </w:p>
    <w:p>
      <w:pPr>
        <w:ind w:right="32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 License</w:t>
      </w:r>
      <w:r>
        <w:rPr>
          <w:rFonts w:ascii="Times New Roman" w:cs="Times New Roman" w:eastAsia="Times New Roman" w:hAnsi="Times New Roman"/>
          <w:sz w:val="21"/>
          <w:szCs w:val="21"/>
          <w:color w:val="auto"/>
        </w:rPr>
        <w:t>” means any written agreement granting any right to use any Trademark or Trademark registration, now owned or hereafter acquired by Borrower or in which Borrower now holds or hereafter acquires any interest.</w:t>
      </w:r>
    </w:p>
    <w:p>
      <w:pPr>
        <w:spacing w:after="0" w:line="13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1</w:t>
      </w:r>
      <w:r>
        <w:rPr>
          <w:rFonts w:ascii="Times New Roman" w:cs="Times New Roman" w:eastAsia="Times New Roman" w:hAnsi="Times New Roman"/>
          <w:sz w:val="22"/>
          <w:szCs w:val="22"/>
          <w:color w:val="auto"/>
        </w:rPr>
        <w:t xml:space="preserve">” means the Advances pursuant to </w:t>
      </w:r>
      <w:r>
        <w:rPr>
          <w:rFonts w:ascii="Times New Roman" w:cs="Times New Roman" w:eastAsia="Times New Roman" w:hAnsi="Times New Roman"/>
          <w:sz w:val="22"/>
          <w:szCs w:val="22"/>
          <w:u w:val="single" w:color="auto"/>
          <w:color w:val="auto"/>
        </w:rPr>
        <w:t>Section 2.2(a) –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2</w:t>
      </w:r>
      <w:r>
        <w:rPr>
          <w:rFonts w:ascii="Times New Roman" w:cs="Times New Roman" w:eastAsia="Times New Roman" w:hAnsi="Times New Roman"/>
          <w:sz w:val="22"/>
          <w:szCs w:val="22"/>
          <w:color w:val="auto"/>
        </w:rPr>
        <w:t xml:space="preserve">” means the Advances pursuant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2 Facility Charge</w:t>
      </w:r>
      <w:r>
        <w:rPr>
          <w:rFonts w:ascii="Times New Roman" w:cs="Times New Roman" w:eastAsia="Times New Roman" w:hAnsi="Times New Roman"/>
          <w:sz w:val="22"/>
          <w:szCs w:val="22"/>
          <w:color w:val="auto"/>
        </w:rPr>
        <w:t xml:space="preserve">” means zero point seven five percent (0.75%) of each Tranche 2 Advance, which is payable to the Lenders in accordance with </w:t>
      </w:r>
      <w:r>
        <w:rPr>
          <w:rFonts w:ascii="Times New Roman" w:cs="Times New Roman" w:eastAsia="Times New Roman" w:hAnsi="Times New Roman"/>
          <w:sz w:val="22"/>
          <w:szCs w:val="22"/>
          <w:u w:val="single" w:color="auto"/>
          <w:color w:val="auto"/>
        </w:rPr>
        <w:t>Section 4.2(d)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2 Milestone</w:t>
      </w:r>
      <w:r>
        <w:rPr>
          <w:rFonts w:ascii="Times New Roman" w:cs="Times New Roman" w:eastAsia="Times New Roman" w:hAnsi="Times New Roman"/>
          <w:sz w:val="22"/>
          <w:szCs w:val="22"/>
          <w:color w:val="auto"/>
        </w:rPr>
        <w:t xml:space="preserve">” means the satisfaction of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xml:space="preserve"> the following events:</w:t>
      </w:r>
    </w:p>
    <w:p>
      <w:pPr>
        <w:spacing w:after="0" w:line="206" w:lineRule="exact"/>
        <w:rPr>
          <w:sz w:val="20"/>
          <w:szCs w:val="20"/>
          <w:color w:val="auto"/>
        </w:rPr>
      </w:pPr>
    </w:p>
    <w:p>
      <w:pPr>
        <w:jc w:val="both"/>
        <w:ind w:left="760" w:firstLine="1494"/>
        <w:spacing w:after="0" w:line="238" w:lineRule="auto"/>
        <w:tabs>
          <w:tab w:leader="none" w:pos="26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satisfaction of each of the following events: (i) no Default or Event of Default shall have occurred and be continuing, (ii) Company shall have delivered supporting documentation satisfactory to Agent (as determined by Agent in its reasonable discretion) that following the Closing Date it has enrolled the first patient in a registrational trial evaluating bitopertin for the treatment of patients with Erythropoietic Porphyrias and such trial remains ongoing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(iii) the achievement of the Phase 2 Myelofibrosis Trial Milestone;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or</w:t>
      </w:r>
    </w:p>
    <w:p>
      <w:pPr>
        <w:spacing w:after="0" w:line="206" w:lineRule="exact"/>
        <w:rPr>
          <w:sz w:val="20"/>
          <w:szCs w:val="20"/>
          <w:color w:val="auto"/>
        </w:rPr>
      </w:pPr>
    </w:p>
    <w:p>
      <w:pPr>
        <w:jc w:val="both"/>
        <w:ind w:left="1500" w:right="4520" w:firstLine="754"/>
        <w:spacing w:after="0" w:line="456" w:lineRule="auto"/>
        <w:tabs>
          <w:tab w:leader="none" w:pos="268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achievement of the EP Clinical Milestone. “</w:t>
      </w:r>
      <w:r>
        <w:rPr>
          <w:rFonts w:ascii="Times New Roman" w:cs="Times New Roman" w:eastAsia="Times New Roman" w:hAnsi="Times New Roman"/>
          <w:sz w:val="21"/>
          <w:szCs w:val="21"/>
          <w:u w:val="single" w:color="auto"/>
          <w:color w:val="auto"/>
        </w:rPr>
        <w:t>Tranche 3</w:t>
      </w:r>
      <w:r>
        <w:rPr>
          <w:rFonts w:ascii="Times New Roman" w:cs="Times New Roman" w:eastAsia="Times New Roman" w:hAnsi="Times New Roman"/>
          <w:sz w:val="21"/>
          <w:szCs w:val="21"/>
          <w:color w:val="auto"/>
        </w:rPr>
        <w:t xml:space="preserve">” means the Advances pursuant to </w:t>
      </w:r>
      <w:r>
        <w:rPr>
          <w:rFonts w:ascii="Times New Roman" w:cs="Times New Roman" w:eastAsia="Times New Roman" w:hAnsi="Times New Roman"/>
          <w:sz w:val="21"/>
          <w:szCs w:val="21"/>
          <w:u w:val="single" w:color="auto"/>
          <w:color w:val="auto"/>
        </w:rPr>
        <w:t>Section 2.2(e)</w:t>
      </w:r>
      <w:r>
        <w:rPr>
          <w:rFonts w:ascii="Times New Roman" w:cs="Times New Roman" w:eastAsia="Times New Roman" w:hAnsi="Times New Roman"/>
          <w:sz w:val="21"/>
          <w:szCs w:val="21"/>
          <w:color w:val="auto"/>
        </w:rPr>
        <w:t>.</w:t>
      </w: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3 Facility Charge</w:t>
      </w:r>
      <w:r>
        <w:rPr>
          <w:rFonts w:ascii="Times New Roman" w:cs="Times New Roman" w:eastAsia="Times New Roman" w:hAnsi="Times New Roman"/>
          <w:sz w:val="22"/>
          <w:szCs w:val="22"/>
          <w:color w:val="auto"/>
        </w:rPr>
        <w:t xml:space="preserve">” means zero point seven five percent (0.75%) of each Tranche 3 Advance, which is payable to the Lenders in accordance with </w:t>
      </w:r>
      <w:r>
        <w:rPr>
          <w:rFonts w:ascii="Times New Roman" w:cs="Times New Roman" w:eastAsia="Times New Roman" w:hAnsi="Times New Roman"/>
          <w:sz w:val="22"/>
          <w:szCs w:val="22"/>
          <w:u w:val="single" w:color="auto"/>
          <w:color w:val="auto"/>
        </w:rPr>
        <w:t>Section 4.2(e)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3 Milestone</w:t>
      </w:r>
      <w:r>
        <w:rPr>
          <w:rFonts w:ascii="Times New Roman" w:cs="Times New Roman" w:eastAsia="Times New Roman" w:hAnsi="Times New Roman"/>
          <w:sz w:val="22"/>
          <w:szCs w:val="22"/>
          <w:color w:val="auto"/>
        </w:rPr>
        <w:t xml:space="preserve">” means the satisfaction of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xml:space="preserve"> the following events:</w:t>
      </w:r>
    </w:p>
    <w:p>
      <w:pPr>
        <w:spacing w:after="0" w:line="206" w:lineRule="exact"/>
        <w:rPr>
          <w:sz w:val="20"/>
          <w:szCs w:val="20"/>
          <w:color w:val="auto"/>
        </w:rPr>
      </w:pPr>
    </w:p>
    <w:p>
      <w:pPr>
        <w:ind w:right="20" w:firstLine="1505"/>
        <w:spacing w:after="0" w:line="258" w:lineRule="auto"/>
        <w:tabs>
          <w:tab w:leader="none" w:pos="192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achievement of the EP Clinical Milestone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(y) the satisfaction of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xml:space="preserve"> of the following events (whichever first occurs):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achievement of the Phase 2 Myelofibrosis Trial Milestone; </w:t>
      </w:r>
      <w:r>
        <w:rPr>
          <w:rFonts w:ascii="Times New Roman" w:cs="Times New Roman" w:eastAsia="Times New Roman" w:hAnsi="Times New Roman"/>
          <w:sz w:val="22"/>
          <w:szCs w:val="22"/>
          <w:u w:val="single" w:color="auto"/>
          <w:color w:val="auto"/>
        </w:rPr>
        <w:t>or</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68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have stated in Company’s public filings with the Securities and Exchange Commission and delivered supporting documentation satisfactory to Agent (as determined by Agent in its reasonable discretion) that it has achieved the protocol specified primary endpoint(s) from the Phase 2a trial of DISC-0974 for the treatment of chronic kidney disease which, taken together with other secondary endpoints and overall safety profile, support Company’s initiation of a Phase 2b trial as the next immediate step in development (as determined by Borrower’s executive team and Board of Directors and subject to Lenders’ reasonable verification);</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or</w:t>
      </w:r>
    </w:p>
    <w:p>
      <w:pPr>
        <w:spacing w:after="0" w:line="206" w:lineRule="exact"/>
        <w:rPr>
          <w:sz w:val="20"/>
          <w:szCs w:val="20"/>
          <w:color w:val="auto"/>
        </w:rPr>
      </w:pPr>
    </w:p>
    <w:p>
      <w:pPr>
        <w:jc w:val="both"/>
        <w:ind w:left="760" w:firstLine="745"/>
        <w:spacing w:after="0" w:line="251" w:lineRule="auto"/>
        <w:tabs>
          <w:tab w:leader="none" w:pos="194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satisfaction of each of the following events: (i) no Default or Event of Default shall have occurred and be continuing; (ii) the achievement of the Approval Milestone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(iii) Borrower has received at least Two Hundred Fifty Million Dollars ($250,000,000) of unrestricted (including, not subject to any redemption, clawback, escrow or similar encumbrance or restriction) net new cash proceeds from the issuance of equity, Permitted Convertible Debt or upfront cash business development proceeds, after the Closing Date and prior to December 15, 2027.</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4</w:t>
      </w:r>
      <w:r>
        <w:rPr>
          <w:rFonts w:ascii="Times New Roman" w:cs="Times New Roman" w:eastAsia="Times New Roman" w:hAnsi="Times New Roman"/>
          <w:sz w:val="22"/>
          <w:szCs w:val="22"/>
          <w:color w:val="auto"/>
        </w:rPr>
        <w:t xml:space="preserve">” means the Advances pursuant to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 4 Facility Charge</w:t>
      </w:r>
      <w:r>
        <w:rPr>
          <w:rFonts w:ascii="Times New Roman" w:cs="Times New Roman" w:eastAsia="Times New Roman" w:hAnsi="Times New Roman"/>
          <w:sz w:val="22"/>
          <w:szCs w:val="22"/>
          <w:color w:val="auto"/>
        </w:rPr>
        <w:t xml:space="preserve">” means zero point seven five percent (0.75%) of each Tranche 4 Advance, which is payable to the Lenders in accordance with </w:t>
      </w:r>
      <w:r>
        <w:rPr>
          <w:rFonts w:ascii="Times New Roman" w:cs="Times New Roman" w:eastAsia="Times New Roman" w:hAnsi="Times New Roman"/>
          <w:sz w:val="22"/>
          <w:szCs w:val="22"/>
          <w:u w:val="single" w:color="auto"/>
          <w:color w:val="auto"/>
        </w:rPr>
        <w:t>Section 4.2(f)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any Person that is a “United States person” as defined in Section 7701(a)(30) of the Code.</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The following terms are defined in the Sections or subsections referenced opposite such terms: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520" w:type="dxa"/>
            <w:vAlign w:val="bottom"/>
            <w:tcBorders>
              <w:right w:val="single" w:sz="8" w:color="auto"/>
            </w:tcBorders>
          </w:tcPr>
          <w:p>
            <w:pPr>
              <w:spacing w:after="0"/>
              <w:rPr>
                <w:sz w:val="24"/>
                <w:szCs w:val="24"/>
                <w:color w:val="auto"/>
              </w:rPr>
            </w:pP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c>
          <w:tcPr>
            <w:tcW w:w="3560" w:type="dxa"/>
            <w:vAlign w:val="bottom"/>
          </w:tcPr>
          <w:p>
            <w:pPr>
              <w:spacing w:after="0"/>
              <w:rPr>
                <w:sz w:val="24"/>
                <w:szCs w:val="24"/>
                <w:color w:val="auto"/>
              </w:rPr>
            </w:pPr>
          </w:p>
        </w:tc>
      </w:tr>
      <w:tr>
        <w:trPr>
          <w:trHeight w:val="247"/>
        </w:trPr>
        <w:tc>
          <w:tcPr>
            <w:tcW w:w="1520" w:type="dxa"/>
            <w:vAlign w:val="bottom"/>
            <w:tcBorders>
              <w:right w:val="single" w:sz="8" w:color="auto"/>
            </w:tcBorders>
          </w:tcPr>
          <w:p>
            <w:pPr>
              <w:spacing w:after="0"/>
              <w:rPr>
                <w:sz w:val="21"/>
                <w:szCs w:val="21"/>
                <w:color w:val="auto"/>
              </w:rPr>
            </w:pPr>
          </w:p>
        </w:tc>
        <w:tc>
          <w:tcPr>
            <w:tcW w:w="392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1940 Act</w:t>
            </w:r>
          </w:p>
        </w:tc>
        <w:tc>
          <w:tcPr>
            <w:tcW w:w="2240" w:type="dxa"/>
            <w:vAlign w:val="bottom"/>
            <w:tcBorders>
              <w:bottom w:val="single" w:sz="8" w:color="auto"/>
              <w:right w:val="single" w:sz="8" w:color="auto"/>
            </w:tcBorders>
          </w:tcPr>
          <w:p>
            <w:pPr>
              <w:ind w:left="60"/>
              <w:spacing w:after="0" w:line="247" w:lineRule="exact"/>
              <w:rPr>
                <w:sz w:val="20"/>
                <w:szCs w:val="20"/>
                <w:color w:val="auto"/>
              </w:rPr>
            </w:pPr>
            <w:r>
              <w:rPr>
                <w:rFonts w:ascii="Times New Roman" w:cs="Times New Roman" w:eastAsia="Times New Roman" w:hAnsi="Times New Roman"/>
                <w:sz w:val="22"/>
                <w:szCs w:val="22"/>
                <w:color w:val="auto"/>
              </w:rPr>
              <w:t>5.6(b)</w:t>
            </w:r>
          </w:p>
        </w:tc>
        <w:tc>
          <w:tcPr>
            <w:tcW w:w="3560" w:type="dxa"/>
            <w:vAlign w:val="bottom"/>
          </w:tcPr>
          <w:p>
            <w:pPr>
              <w:spacing w:after="0"/>
              <w:rPr>
                <w:sz w:val="21"/>
                <w:szCs w:val="21"/>
                <w:color w:val="auto"/>
              </w:rPr>
            </w:pPr>
          </w:p>
        </w:tc>
      </w:tr>
      <w:tr>
        <w:trPr>
          <w:trHeight w:val="653"/>
        </w:trPr>
        <w:tc>
          <w:tcPr>
            <w:tcW w:w="1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21</w:t>
            </w:r>
          </w:p>
        </w:tc>
        <w:tc>
          <w:tcPr>
            <w:tcW w:w="3560" w:type="dxa"/>
            <w:vAlign w:val="bottom"/>
          </w:tcPr>
          <w:p>
            <w:pPr>
              <w:spacing w:after="0"/>
              <w:rPr>
                <w:sz w:val="24"/>
                <w:szCs w:val="24"/>
                <w:color w:val="auto"/>
              </w:rPr>
            </w:pPr>
          </w:p>
        </w:tc>
      </w:tr>
      <w:tr>
        <w:trPr>
          <w:trHeight w:val="751"/>
        </w:trPr>
        <w:tc>
          <w:tcPr>
            <w:tcW w:w="15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tbl>
      <w:tblPr>
        <w:tblLayout w:type="fixed"/>
        <w:tblInd w:w="1510" w:type="dxa"/>
        <w:tblCellMar>
          <w:top w:w="0" w:type="dxa"/>
          <w:left w:w="0" w:type="dxa"/>
          <w:bottom w:w="0" w:type="dxa"/>
          <w:right w:w="0" w:type="dxa"/>
        </w:tblCellMar>
      </w:tblPr>
      <w:tr>
        <w:trPr>
          <w:trHeight w:val="303"/>
        </w:trPr>
        <w:tc>
          <w:tcPr>
            <w:tcW w:w="3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Agent</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47"/>
        </w:trPr>
        <w:tc>
          <w:tcPr>
            <w:tcW w:w="394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Assignee</w:t>
            </w:r>
          </w:p>
        </w:tc>
        <w:tc>
          <w:tcPr>
            <w:tcW w:w="2240" w:type="dxa"/>
            <w:vAlign w:val="bottom"/>
            <w:tcBorders>
              <w:bottom w:val="single" w:sz="8" w:color="auto"/>
              <w:right w:val="single" w:sz="8" w:color="auto"/>
            </w:tcBorders>
          </w:tcPr>
          <w:p>
            <w:pPr>
              <w:ind w:left="60"/>
              <w:spacing w:after="0" w:line="247" w:lineRule="exact"/>
              <w:rPr>
                <w:sz w:val="20"/>
                <w:szCs w:val="20"/>
                <w:color w:val="auto"/>
              </w:rPr>
            </w:pPr>
            <w:r>
              <w:rPr>
                <w:rFonts w:ascii="Times New Roman" w:cs="Times New Roman" w:eastAsia="Times New Roman" w:hAnsi="Times New Roman"/>
                <w:sz w:val="22"/>
                <w:szCs w:val="22"/>
                <w:color w:val="auto"/>
              </w:rPr>
              <w:t>11.14</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Borrower</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Cash Interest Reduction Amount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2.2(h)(iii)</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Claims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11.10</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Collateral</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Confidential Information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11.13</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Current Company IP</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5.10(a)</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Event of Default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Financial Statements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7.1</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Indemnified Person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6.3</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Lenders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Liabilities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6.3</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Maximum Rate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2.3</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Open Source License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Participant Register</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11.8</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Payment Date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2.2(i)</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PIK Deferral Period</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2.2(h)(iii)</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Prepayment Charge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2.5(a)</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Publicity Materials</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11.19</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Register</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11.7</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Regulation</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5.15</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Rights to Payment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SBA</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7.21</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SBIC</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7.21</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SBIC Act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7.21</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Term Loan PIK Interest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2.2(h)(ii)</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Third Party IP</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5.10(i)</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1-A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2.2(a)</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1-B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2.2(b)</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1-C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2.2(c)</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1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2.2(c)</w:t>
            </w:r>
          </w:p>
        </w:tc>
      </w:tr>
      <w:tr>
        <w:trPr>
          <w:trHeight w:val="264"/>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2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2.2(d)</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3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2.2(e)</w:t>
            </w:r>
          </w:p>
        </w:tc>
      </w:tr>
      <w:tr>
        <w:trPr>
          <w:trHeight w:val="263"/>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Tranche 4 Advance</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2.2(e)</w:t>
            </w:r>
          </w:p>
        </w:tc>
      </w:tr>
    </w:tbl>
    <w:p>
      <w:pPr>
        <w:spacing w:after="0" w:line="21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 w:name="page27"/>
    <w:bookmarkEnd w:id="26"/>
    <w:p>
      <w:pPr>
        <w:jc w:val="both"/>
        <w:spacing w:after="0" w:line="235" w:lineRule="auto"/>
        <w:rPr>
          <w:sz w:val="20"/>
          <w:szCs w:val="20"/>
          <w:color w:val="auto"/>
        </w:rPr>
      </w:pPr>
      <w:r>
        <w:rPr>
          <w:rFonts w:ascii="Times New Roman" w:cs="Times New Roman" w:eastAsia="Times New Roman" w:hAnsi="Times New Roman"/>
          <w:sz w:val="22"/>
          <w:szCs w:val="22"/>
          <w:color w:val="auto"/>
        </w:rPr>
        <w:t>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provided that, until so amended, such requirement shall continue to be computed in accordance with GAAP prior to such change.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color w:val="auto"/>
        </w:rPr>
        <w:t>All references in this Agreement or any Annex or Schedule hereto a “regulation” includes any regulation, rule, official directive, request or guideline (whether or not having the force of law) of any governmental, intergovernmental or supranational body, agency, department or of any regulatory, self-regulatory or other authority or organization.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22"/>
          <w:szCs w:val="22"/>
          <w:color w:val="auto"/>
        </w:rPr>
        <w:t>Notwithstanding anything in the definition of GAAP to the contrary, any obligations under a lease (whether existing now or entered into in the future) that is not (or would not be) a capital lease under GAAP as in effect prior to giving effect to FASB Accounting Standards Update No. 2016-02, Leases, shall not be treated as a capital lease solely as a result of the adoption of changes in GAAP.</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2THE LOAN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2.2Term Loan Advances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ind w:firstLine="1505"/>
        <w:spacing w:after="0" w:line="244"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1-A Advance</w:t>
      </w:r>
      <w:r>
        <w:rPr>
          <w:rFonts w:ascii="Times New Roman" w:cs="Times New Roman" w:eastAsia="Times New Roman" w:hAnsi="Times New Roman"/>
          <w:sz w:val="22"/>
          <w:szCs w:val="22"/>
          <w:color w:val="auto"/>
        </w:rPr>
        <w:t>. Subject to the terms and conditions of this Agreement, on the Closing Date, the Lenders shall severally (and not jointly) make, and Borrower agrees to draw, an initial Term Loan Advance in an aggregate principal amount of Thirty Million Dollars ($30,000,000) (the “</w:t>
      </w:r>
      <w:r>
        <w:rPr>
          <w:rFonts w:ascii="Times New Roman" w:cs="Times New Roman" w:eastAsia="Times New Roman" w:hAnsi="Times New Roman"/>
          <w:sz w:val="22"/>
          <w:szCs w:val="22"/>
          <w:u w:val="single" w:color="auto"/>
          <w:color w:val="auto"/>
        </w:rPr>
        <w:t>Tranche 1-A Advance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8"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1-B Advance</w:t>
      </w:r>
      <w:r>
        <w:rPr>
          <w:rFonts w:ascii="Times New Roman" w:cs="Times New Roman" w:eastAsia="Times New Roman" w:hAnsi="Times New Roman"/>
          <w:sz w:val="22"/>
          <w:szCs w:val="22"/>
          <w:color w:val="auto"/>
        </w:rPr>
        <w:t xml:space="preserve">. Subject to the terms and conditions of this Agreement, Borrower may request, and the Lenders shall severally (and not jointly) make, in each case on or prior to September 15, 2026, additional Term Loan Advances in an aggregate principal amount up to Thirty Million Dollars ($30,000,000) in minimum draws of at least Ten Million Dollars ($10,000,000) (or if less than Ten Million Dollars ($10,000,000), the remaining amount of Term Loan Advances available to be drawn pursuant to this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Tranche 1-B Advance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1-C Advance</w:t>
      </w:r>
      <w:r>
        <w:rPr>
          <w:rFonts w:ascii="Times New Roman" w:cs="Times New Roman" w:eastAsia="Times New Roman" w:hAnsi="Times New Roman"/>
          <w:sz w:val="22"/>
          <w:szCs w:val="22"/>
          <w:color w:val="auto"/>
        </w:rPr>
        <w:t xml:space="preserve">. Subject to the terms and conditions of this Agreement, beginning upon the earlier of (i) the drawing of 100% of the Term Commitment in respect of the Tranche 1-B Advance or (ii) September 16, 2026, Borrower may request, and the Lenders shall severally (and not jointly) make, in each case on or prior to December 15, 2026, additional Term Loan Advances in an aggregate principal amount up to Fifty Million Dollars ($50,000,000) in minimum draws of at least Ten Million Dollars ($10,000,000) (or if less than Ten Million Dollars ($10,000,000), the remaining amount of Term Loan Advances available to be drawn pursuant to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Tranche 1-C Advance</w:t>
      </w:r>
      <w:r>
        <w:rPr>
          <w:rFonts w:ascii="Times New Roman" w:cs="Times New Roman" w:eastAsia="Times New Roman" w:hAnsi="Times New Roman"/>
          <w:sz w:val="22"/>
          <w:szCs w:val="22"/>
          <w:color w:val="auto"/>
        </w:rPr>
        <w:t>”; and together with the Tranche 1-A Advance and Tranche 1-B Advance, the “</w:t>
      </w:r>
      <w:r>
        <w:rPr>
          <w:rFonts w:ascii="Times New Roman" w:cs="Times New Roman" w:eastAsia="Times New Roman" w:hAnsi="Times New Roman"/>
          <w:sz w:val="22"/>
          <w:szCs w:val="22"/>
          <w:u w:val="single" w:color="auto"/>
          <w:color w:val="auto"/>
        </w:rPr>
        <w:t>Tranche 1 Advance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2 Advance</w:t>
      </w:r>
      <w:r>
        <w:rPr>
          <w:rFonts w:ascii="Times New Roman" w:cs="Times New Roman" w:eastAsia="Times New Roman" w:hAnsi="Times New Roman"/>
          <w:sz w:val="22"/>
          <w:szCs w:val="22"/>
          <w:color w:val="auto"/>
        </w:rPr>
        <w:t xml:space="preserve">. Subject to the terms and conditions of this Agreement and the achievement of the Tranche 2 Milestone, beginning upon the earlier of (i) the drawing of 100% of the Term Commitment in respect of the Tranche 1-C Advance or (ii) December 16, 2026, Borrower may request, and the Lenders shall severally (and not jointly) make, in each case on or prior to June 15, 2027, additional Term Loan Advances in an aggregate principal amount up to Twenty-Five Million Dollars ($25,000,000) in minimum draws of at least Ten Million Dollars ($10,000,000) (or if less than Ten Million Dollars ($10,000,000), the remaining amount of Term Loan Advances available to be drawn pursuant to this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Tranche 2 Advance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3 Advance</w:t>
      </w:r>
      <w:r>
        <w:rPr>
          <w:rFonts w:ascii="Times New Roman" w:cs="Times New Roman" w:eastAsia="Times New Roman" w:hAnsi="Times New Roman"/>
          <w:sz w:val="22"/>
          <w:szCs w:val="22"/>
          <w:color w:val="auto"/>
        </w:rPr>
        <w:t xml:space="preserve">. Subject to the terms and conditions of this Agreement and the achievement of the Tranche 3 Milestone, beginning upon the earlier of (i) the drawing of 100% of the Term Commitment in respect of the Tranche 2 Advance or (ii) June 16, 2027, Borrower may request, and the Lenders shall severally (and not jointly) make, in each case on or prior to December 15, 2027, additional Term Loan Advances in an aggregate principal amount up to Forty Million Dollars ($40,000,000) in minimum draws of at least Ten Million Dollars ($10,000,000) (or if less than Ten Million Dollars ($10,000,000), the remaining amount of Term Loan Advances available to be drawn pursuant to this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Tranche 3 Advance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Tranche 4 Advance</w:t>
      </w:r>
      <w:r>
        <w:rPr>
          <w:rFonts w:ascii="Times New Roman" w:cs="Times New Roman" w:eastAsia="Times New Roman" w:hAnsi="Times New Roman"/>
          <w:sz w:val="22"/>
          <w:szCs w:val="22"/>
          <w:color w:val="auto"/>
        </w:rPr>
        <w:t>. Subject to the terms and conditions of this Agreement, Borrower may request, and the Lenders shall severally (and not jointly) make, in each case on and conditioned on approval by Lenders’ investment committee in its sole and unfettered discretion, additional Term Loan Advances in an aggregate principal amount up to Twenty-Five Million Dollars ($25,000,000) in minimum draws of at least Ten Million Dollars ($10,000,000) (or if less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than Ten Million Dollars ($10,000,000), the remaining amount of Term Loan Advances available to be drawn pursuant to this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Tranche 4 Advance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aggregate outstanding Term Loan Advances shall not exceed the Maximum Term Loan Amount plus, for the avoidance of doubt, any amount equal to the Term Loan PIK Interest added to principal pursuant to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 xml:space="preserve">. Each Term Loan Advance of each Lender shall not exceed its respective Term Commitment plus, for the avoidance of doubt, any amount equal to the Term Loan PIK Interest added to principal pursuant to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 After repayment, no Term Loan Advance (or any portion thereof) may be reborrowed.</w:t>
      </w:r>
    </w:p>
    <w:p>
      <w:pPr>
        <w:spacing w:after="0" w:line="177" w:lineRule="exact"/>
        <w:rPr>
          <w:sz w:val="20"/>
          <w:szCs w:val="20"/>
          <w:color w:val="auto"/>
        </w:rPr>
      </w:pPr>
    </w:p>
    <w:p>
      <w:pPr>
        <w:jc w:val="both"/>
        <w:ind w:firstLine="1505"/>
        <w:spacing w:after="0" w:line="251" w:lineRule="auto"/>
        <w:tabs>
          <w:tab w:leader="none" w:pos="2036" w:val="left"/>
        </w:tabs>
        <w:numPr>
          <w:ilvl w:val="0"/>
          <w:numId w:val="2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Advance Request</w:t>
      </w:r>
      <w:r>
        <w:rPr>
          <w:rFonts w:ascii="Times New Roman" w:cs="Times New Roman" w:eastAsia="Times New Roman" w:hAnsi="Times New Roman"/>
          <w:sz w:val="21"/>
          <w:szCs w:val="21"/>
          <w:color w:val="auto"/>
        </w:rPr>
        <w:t>. To obtain a Term Loan Advance, Borrower shall complete, sign and deliver an Advance Request (at least five (5) Business Days before the Advance Date other than the Closing Date, which shall be at least one (1) Business Day) to Agent. The Lenders shall fund the Term Loan Advance in the manner requested by the Advance Request provided that each of the conditions precedent to such Term Loan Advance is satisfied as of the requested Advance Date. The proceeds of any Term Loan Advance shall be deposited into an account that is subject to an Account Control Agreement.</w:t>
      </w:r>
    </w:p>
    <w:p>
      <w:pPr>
        <w:spacing w:after="0" w:line="168" w:lineRule="exact"/>
        <w:rPr>
          <w:rFonts w:ascii="Times New Roman" w:cs="Times New Roman" w:eastAsia="Times New Roman" w:hAnsi="Times New Roman"/>
          <w:sz w:val="21"/>
          <w:szCs w:val="21"/>
          <w:u w:val="single" w:color="auto"/>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Interest.</w:t>
      </w:r>
    </w:p>
    <w:p>
      <w:pPr>
        <w:spacing w:after="0" w:line="206" w:lineRule="exact"/>
        <w:rPr>
          <w:rFonts w:ascii="Times New Roman" w:cs="Times New Roman" w:eastAsia="Times New Roman" w:hAnsi="Times New Roman"/>
          <w:sz w:val="22"/>
          <w:szCs w:val="22"/>
          <w:u w:val="single" w:color="auto"/>
          <w:color w:val="auto"/>
        </w:rPr>
      </w:pPr>
    </w:p>
    <w:p>
      <w:pPr>
        <w:jc w:val="both"/>
        <w:ind w:left="1500" w:firstLine="1503"/>
        <w:spacing w:after="0" w:line="234" w:lineRule="auto"/>
        <w:tabs>
          <w:tab w:leader="none" w:pos="3567"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 Loan Cash Interest Rate</w:t>
      </w:r>
      <w:r>
        <w:rPr>
          <w:rFonts w:ascii="Times New Roman" w:cs="Times New Roman" w:eastAsia="Times New Roman" w:hAnsi="Times New Roman"/>
          <w:sz w:val="22"/>
          <w:szCs w:val="22"/>
          <w:color w:val="auto"/>
        </w:rPr>
        <w:t xml:space="preserve">. In addition to interest accrued pursuant to the Term Loan PIK Interest Rate, the principal balance (including, for the avoidance of doubt, any payment-in-kind interest added to principal pursuant to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 xml:space="preserve">) of each Term Loan Advance shall bear interest thereon from such Advance Date (or from the date such amount equal to the Term Loan PIK Interest is added to the principal) at the Term Loan Cash Interest Rate (as such rate may be reduced for a given PIK Deferral Period in an amount equal to the applicable Cash Interest Reduction Amount pursuant to </w:t>
      </w:r>
      <w:r>
        <w:rPr>
          <w:rFonts w:ascii="Times New Roman" w:cs="Times New Roman" w:eastAsia="Times New Roman" w:hAnsi="Times New Roman"/>
          <w:sz w:val="22"/>
          <w:szCs w:val="22"/>
          <w:u w:val="single" w:color="auto"/>
          <w:color w:val="auto"/>
        </w:rPr>
        <w:t>Section 2.2(h)(iii)</w:t>
      </w:r>
      <w:r>
        <w:rPr>
          <w:rFonts w:ascii="Times New Roman" w:cs="Times New Roman" w:eastAsia="Times New Roman" w:hAnsi="Times New Roman"/>
          <w:sz w:val="22"/>
          <w:szCs w:val="22"/>
          <w:color w:val="auto"/>
        </w:rPr>
        <w:t>) based on a year consisting of three hundred sixty (360) days, with interest computed daily based on the actual number of days elapsed. The Term Loan Cash Interest Rate will float and change on the day the Prime Rate changes from time to time.</w:t>
      </w:r>
    </w:p>
    <w:p>
      <w:pPr>
        <w:spacing w:after="0" w:line="183" w:lineRule="exact"/>
        <w:rPr>
          <w:rFonts w:ascii="Times New Roman" w:cs="Times New Roman" w:eastAsia="Times New Roman" w:hAnsi="Times New Roman"/>
          <w:sz w:val="22"/>
          <w:szCs w:val="22"/>
          <w:u w:val="single" w:color="auto"/>
          <w:color w:val="auto"/>
        </w:rPr>
      </w:pPr>
    </w:p>
    <w:p>
      <w:pPr>
        <w:jc w:val="both"/>
        <w:ind w:left="1500" w:firstLine="1503"/>
        <w:spacing w:after="0" w:line="235" w:lineRule="auto"/>
        <w:tabs>
          <w:tab w:leader="none" w:pos="3567" w:val="left"/>
        </w:tabs>
        <w:numPr>
          <w:ilvl w:val="1"/>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 Loan PIK Interest Rate</w:t>
      </w:r>
      <w:r>
        <w:rPr>
          <w:rFonts w:ascii="Times New Roman" w:cs="Times New Roman" w:eastAsia="Times New Roman" w:hAnsi="Times New Roman"/>
          <w:sz w:val="22"/>
          <w:szCs w:val="22"/>
          <w:color w:val="auto"/>
        </w:rPr>
        <w:t>. In addition to interest accrued pursuant to the Term Loan Cash Interest Rate, to the extent Borrower has initiated a PIK Deferral Period, the principal balance of each Term Loan Advance shall bear interest thereon from the applicable Advance Date at the Term Loan PIK Interest Rate based on a year consisting of 360 days, with interest computed daily based on the actual number of days elapsed (the “</w:t>
      </w:r>
      <w:r>
        <w:rPr>
          <w:rFonts w:ascii="Times New Roman" w:cs="Times New Roman" w:eastAsia="Times New Roman" w:hAnsi="Times New Roman"/>
          <w:sz w:val="22"/>
          <w:szCs w:val="22"/>
          <w:u w:val="single" w:color="auto"/>
          <w:color w:val="auto"/>
        </w:rPr>
        <w:t>Term Loan PIK Interest</w:t>
      </w:r>
      <w:r>
        <w:rPr>
          <w:rFonts w:ascii="Times New Roman" w:cs="Times New Roman" w:eastAsia="Times New Roman" w:hAnsi="Times New Roman"/>
          <w:sz w:val="22"/>
          <w:szCs w:val="22"/>
          <w:color w:val="auto"/>
        </w:rPr>
        <w:t xml:space="preserve">”), which amount shall be added to the outstanding principal balance and so capitalized so as to increase the outstanding principal balance of such Term Loan Advance on each payment date for such Advance and which amount shall be payable when the principal amount of the applicable Advance is payable in accordance with </w:t>
      </w:r>
      <w:r>
        <w:rPr>
          <w:rFonts w:ascii="Times New Roman" w:cs="Times New Roman" w:eastAsia="Times New Roman" w:hAnsi="Times New Roman"/>
          <w:sz w:val="22"/>
          <w:szCs w:val="22"/>
          <w:u w:val="single" w:color="auto"/>
          <w:color w:val="auto"/>
        </w:rPr>
        <w:t>Section 2.2(i)</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u w:val="single" w:color="auto"/>
          <w:color w:val="auto"/>
        </w:rPr>
      </w:pPr>
    </w:p>
    <w:p>
      <w:pPr>
        <w:jc w:val="both"/>
        <w:ind w:left="1500" w:firstLine="1503"/>
        <w:spacing w:after="0" w:line="244" w:lineRule="auto"/>
        <w:tabs>
          <w:tab w:leader="none" w:pos="356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elect, by prior written notice to Agent either: (a) prior to an Advance Date, or (b) at least five (5) Business Days prior to the first Business Day of a month, to reduce the then effective per annum Term Loan Cash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ind w:left="1500"/>
        <w:spacing w:after="0" w:line="248" w:lineRule="auto"/>
        <w:rPr>
          <w:sz w:val="20"/>
          <w:szCs w:val="20"/>
          <w:color w:val="auto"/>
        </w:rPr>
      </w:pPr>
      <w:r>
        <w:rPr>
          <w:rFonts w:ascii="Times New Roman" w:cs="Times New Roman" w:eastAsia="Times New Roman" w:hAnsi="Times New Roman"/>
          <w:sz w:val="21"/>
          <w:szCs w:val="21"/>
          <w:color w:val="auto"/>
        </w:rPr>
        <w:t>Interest Rate applicable to the Term Loan Advances, by up to 2.00% per annum (the amount of such reduction, the “</w:t>
      </w:r>
      <w:r>
        <w:rPr>
          <w:rFonts w:ascii="Times New Roman" w:cs="Times New Roman" w:eastAsia="Times New Roman" w:hAnsi="Times New Roman"/>
          <w:sz w:val="21"/>
          <w:szCs w:val="21"/>
          <w:u w:val="single" w:color="auto"/>
          <w:color w:val="auto"/>
        </w:rPr>
        <w:t>Cash Interest Reduction Amount</w:t>
      </w:r>
      <w:r>
        <w:rPr>
          <w:rFonts w:ascii="Times New Roman" w:cs="Times New Roman" w:eastAsia="Times New Roman" w:hAnsi="Times New Roman"/>
          <w:sz w:val="21"/>
          <w:szCs w:val="21"/>
          <w:color w:val="auto"/>
        </w:rPr>
        <w:t>”) for a period beginning on the first Business Day of the month following such Advance Date or the date of the notice under foregoing clause (b) (as applicable) and ending on the last day of the third month or any subsequent month thereafter (the “</w:t>
      </w:r>
      <w:r>
        <w:rPr>
          <w:rFonts w:ascii="Times New Roman" w:cs="Times New Roman" w:eastAsia="Times New Roman" w:hAnsi="Times New Roman"/>
          <w:sz w:val="21"/>
          <w:szCs w:val="21"/>
          <w:u w:val="single" w:color="auto"/>
          <w:color w:val="auto"/>
        </w:rPr>
        <w:t>PIK Deferral Period</w:t>
      </w:r>
      <w:r>
        <w:rPr>
          <w:rFonts w:ascii="Times New Roman" w:cs="Times New Roman" w:eastAsia="Times New Roman" w:hAnsi="Times New Roman"/>
          <w:sz w:val="21"/>
          <w:szCs w:val="21"/>
          <w:color w:val="auto"/>
        </w:rPr>
        <w:t>”); provided that such notice shall specify the amount of such Cash Interest Reduction Amount and duration of such PIK Deferral Period; provided further that after the expiration of any PIK Deferral Period, the reduction to the Term Loan Cash Interest Rate by an amount equal to the Cash Interest Reduction Amount shall cease to apply.</w:t>
      </w:r>
    </w:p>
    <w:p>
      <w:pPr>
        <w:spacing w:after="0" w:line="170" w:lineRule="exact"/>
        <w:rPr>
          <w:sz w:val="20"/>
          <w:szCs w:val="20"/>
          <w:color w:val="auto"/>
        </w:rPr>
      </w:pPr>
    </w:p>
    <w:p>
      <w:pPr>
        <w:jc w:val="both"/>
        <w:ind w:firstLine="1505"/>
        <w:spacing w:after="0" w:line="232" w:lineRule="auto"/>
        <w:tabs>
          <w:tab w:leader="none" w:pos="2036"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Borrower will pay accrued but unpaid interest on each Term Loan Advance on the first Business Day of each month (each such date,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provided that if the Term Loan Cash Interest Rate is adjusted in accordance with its terms, or the Amortization Date is extended or the Term Loan Maturity Date is extended, or a PIK Deferral Period becomes effective, the amount of each subsequent monthly installment shall be recalculated. The entire Term Loan principal balance and all accrued but unpaid interest hereunder, shall be due and payable on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subsequent Business Day The Lenders will initiate debit entries to Borrower’s account as authorized on the ACH Authorization (i) on each Payment Date of all periodic obligations payable to the Lenders under each Term Loan Advance and (ii) out-of-pocket legal fees and costs incurred by Agent or the Lenders in accordance with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spacing w:after="0" w:line="1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u w:val="single" w:color="auto"/>
          <w:color w:val="auto"/>
        </w:rPr>
        <w:t>2.3Maximum Interest</w:t>
      </w:r>
      <w:r>
        <w:rPr>
          <w:rFonts w:ascii="Times New Roman" w:cs="Times New Roman" w:eastAsia="Times New Roman" w:hAnsi="Times New Roman"/>
          <w:sz w:val="21"/>
          <w:szCs w:val="21"/>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spacing w:after="0" w:line="235" w:lineRule="auto"/>
        <w:rPr>
          <w:sz w:val="20"/>
          <w:szCs w:val="20"/>
          <w:color w:val="auto"/>
        </w:rPr>
      </w:pPr>
      <w:r>
        <w:rPr>
          <w:rFonts w:ascii="Times New Roman" w:cs="Times New Roman" w:eastAsia="Times New Roman" w:hAnsi="Times New Roman"/>
          <w:sz w:val="22"/>
          <w:szCs w:val="22"/>
          <w:color w:val="auto"/>
        </w:rPr>
        <w:t>laws relating to permissible rates of interest on commercial loans)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2.4Default Interest</w:t>
      </w:r>
      <w:r>
        <w:rPr>
          <w:rFonts w:ascii="Times New Roman" w:cs="Times New Roman" w:eastAsia="Times New Roman" w:hAnsi="Times New Roman"/>
          <w:sz w:val="22"/>
          <w:szCs w:val="22"/>
          <w:color w:val="auto"/>
        </w:rPr>
        <w:t xml:space="preserve">. In the event any payment is not paid on the scheduled payment date,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w:t>
      </w:r>
      <w:r>
        <w:rPr>
          <w:rFonts w:ascii="Times New Roman" w:cs="Times New Roman" w:eastAsia="Times New Roman" w:hAnsi="Times New Roman"/>
          <w:sz w:val="22"/>
          <w:szCs w:val="22"/>
          <w:u w:val="single" w:color="auto"/>
          <w:color w:val="auto"/>
        </w:rPr>
        <w:t>Section 2.2(h)</w:t>
      </w:r>
      <w:r>
        <w:rPr>
          <w:rFonts w:ascii="Times New Roman" w:cs="Times New Roman" w:eastAsia="Times New Roman" w:hAnsi="Times New Roman"/>
          <w:sz w:val="22"/>
          <w:szCs w:val="22"/>
          <w:color w:val="auto"/>
        </w:rPr>
        <w:t xml:space="preserve">, plus four percent (4%) per annum. In the event any interest is not paid when due hereunder, delinquent interest shall be added to principal and shall bear interest on interest, compounded at the rate set forth in </w:t>
      </w:r>
      <w:r>
        <w:rPr>
          <w:rFonts w:ascii="Times New Roman" w:cs="Times New Roman" w:eastAsia="Times New Roman" w:hAnsi="Times New Roman"/>
          <w:sz w:val="22"/>
          <w:szCs w:val="22"/>
          <w:u w:val="single" w:color="auto"/>
          <w:color w:val="auto"/>
        </w:rPr>
        <w:t>Section 2.2(h)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as applicable.</w:t>
      </w:r>
    </w:p>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2.5Prepayment</w:t>
      </w:r>
      <w:r>
        <w:rPr>
          <w:rFonts w:ascii="Times New Roman" w:cs="Times New Roman" w:eastAsia="Times New Roman" w:hAnsi="Times New Roman"/>
          <w:sz w:val="22"/>
          <w:szCs w:val="22"/>
          <w:color w:val="auto"/>
        </w:rPr>
        <w:t xml:space="preserve">. At its option, Borrower may prepay all or a portion of the outstanding Advances by paying the entire principal balance (or such portion thereof), all accrued and unpaid interest thereon, all unpaid Lender’s fees and expenses then due and payable hereunder accrued to the date of the repayment (including, without limitation, the portion of the End of Term Charge applicable to the aggregate original principal amount of the Term Loan Advances being prepaid in accordance with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together with a prepayment charge equal to the following percentage of the Advance amount being prepaid: with respect to each Advance (which Advance amount shall include, for the avoidance of doubt, any principal that has been added to the principal balance of such Advance pursuant to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 if such Advance amounts are prepaid in any of the first eighteen (18) months following the Closing Date, 3.00%; after eighteen (18) months but on or prior to thirty six (36) months following the Closing Date, 2.00%; and thereafter, 1.00% (each, a “</w:t>
      </w:r>
      <w:r>
        <w:rPr>
          <w:rFonts w:ascii="Times New Roman" w:cs="Times New Roman" w:eastAsia="Times New Roman" w:hAnsi="Times New Roman"/>
          <w:sz w:val="22"/>
          <w:szCs w:val="22"/>
          <w:u w:val="single" w:color="auto"/>
          <w:color w:val="auto"/>
        </w:rPr>
        <w:t>Prepayment Charge</w:t>
      </w:r>
      <w:r>
        <w:rPr>
          <w:rFonts w:ascii="Times New Roman" w:cs="Times New Roman" w:eastAsia="Times New Roman" w:hAnsi="Times New Roman"/>
          <w:sz w:val="22"/>
          <w:szCs w:val="22"/>
          <w:color w:val="auto"/>
        </w:rPr>
        <w:t>”).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hereby waive the Prepayment Charge if Agent and the Lenders or any Affiliate thereof (in their sole and absolute discretion) provide any refinancing of the Advances prior to the Term Loan Maturity Date. For the avoidance of doubt, if a payment hereunder becomes due and payable on 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day that is not a Business Day, the due date thereof shall be the immediately subsequent Business Day.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2.6End of Term Charge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On any date that Borrower partially prepays the outstanding Secured Obligations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(other than, for the avoidance of doubt, any partial prepayment that would result in all remaining outstanding Secured Obligations being prepaid in full), Borrower shall pay the Lenders a charge of equal to applicable End of Term Charge Percentage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by </w:t>
      </w:r>
      <w:r>
        <w:rPr>
          <w:rFonts w:ascii="Times New Roman" w:cs="Times New Roman" w:eastAsia="Times New Roman" w:hAnsi="Times New Roman"/>
          <w:sz w:val="22"/>
          <w:szCs w:val="22"/>
          <w:color w:val="auto"/>
        </w:rPr>
        <w:t>the aggregate principal amount of such Term Loan Advances being prepaid.</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6"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(including by acceleration of the Secured Obligations during an Event of Default) pursuant to the terms of this Agreement, Borrower shall pay the Lenders a charge equal to (i) applicable End of Term Charge Percentage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aggregate original principal amount of the Term Loan Advances made hereunder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of payments made pursuant to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(collectively, with any charge required to be paid pursuant to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End of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Charge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Notwithstanding the required payment date of such End of Term Charge, the applicable pro rata portion of the End of Term Charge with respect to any Advance shall be deemed earned by the Lenders as of the applicable Advance Date. For the avoidance of doubt, if a payment hereunder becomes due and payable on a day that is not a Business Day, the due date thereof shall be the immediately subsequent Business Day.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2.7Pro Rata Treatment</w:t>
      </w:r>
      <w:r>
        <w:rPr>
          <w:rFonts w:ascii="Times New Roman" w:cs="Times New Roman" w:eastAsia="Times New Roman" w:hAnsi="Times New Roman"/>
          <w:sz w:val="22"/>
          <w:szCs w:val="22"/>
          <w:color w:val="auto"/>
        </w:rPr>
        <w:t>. Each payment (including prepayment) on account of any fee and any reduction of the Term Loan shall be made pro rata according to the Term Commitments of the relevant Lender.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2.8Taxes; Increased Costs</w:t>
      </w:r>
      <w:r>
        <w:rPr>
          <w:rFonts w:ascii="Times New Roman" w:cs="Times New Roman" w:eastAsia="Times New Roman" w:hAnsi="Times New Roman"/>
          <w:sz w:val="22"/>
          <w:szCs w:val="22"/>
          <w:color w:val="auto"/>
        </w:rPr>
        <w:t xml:space="preserve">. Borrower, the Agent and the Lenders each hereby agree to the terms and conditions set forth on </w:t>
      </w:r>
      <w:r>
        <w:rPr>
          <w:rFonts w:ascii="Times New Roman" w:cs="Times New Roman" w:eastAsia="Times New Roman" w:hAnsi="Times New Roman"/>
          <w:sz w:val="22"/>
          <w:szCs w:val="22"/>
          <w:u w:val="single" w:color="auto"/>
          <w:color w:val="auto"/>
        </w:rPr>
        <w:t>Addendum 1</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2.9Treatment of Prepayment Charge and End of Term Charge</w:t>
      </w:r>
      <w:r>
        <w:rPr>
          <w:rFonts w:ascii="Times New Roman" w:cs="Times New Roman" w:eastAsia="Times New Roman" w:hAnsi="Times New Roman"/>
          <w:sz w:val="22"/>
          <w:szCs w:val="22"/>
          <w:color w:val="auto"/>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35" w:lineRule="auto"/>
        <w:rPr>
          <w:sz w:val="20"/>
          <w:szCs w:val="20"/>
          <w:color w:val="auto"/>
        </w:rPr>
      </w:pPr>
      <w:r>
        <w:rPr>
          <w:rFonts w:ascii="Times New Roman" w:cs="Times New Roman" w:eastAsia="Times New Roman" w:hAnsi="Times New Roman"/>
          <w:sz w:val="22"/>
          <w:szCs w:val="22"/>
          <w:color w:val="auto"/>
        </w:rPr>
        <w:t>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3SECURITY INTEREST</w:t>
      </w:r>
    </w:p>
    <w:p>
      <w:pPr>
        <w:spacing w:after="0" w:line="21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3.1</w:t>
      </w:r>
      <w:r>
        <w:rPr>
          <w:rFonts w:ascii="Times New Roman" w:cs="Times New Roman" w:eastAsia="Times New Roman" w:hAnsi="Times New Roman"/>
          <w:sz w:val="21"/>
          <w:szCs w:val="21"/>
          <w:color w:val="auto"/>
        </w:rPr>
        <w:t xml:space="preserve">As security for the prompt and complete payment when due (whether on the payment dates or otherwise) of all the Secured Obligations, each Borrower grants to Agent a security interest in all of such Borrower’s right, title, and interest in, to and under all of such Borrower’s personal property and other assets, including without limitation the following, whether now owned or hereafter acquired (collectively, but subject to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(a) Receivables; (b) Equipment; (c) Fixtures; (d) General Intangibles (other than Company IP); (e) Inventory; (f) Investment Property; (g) Deposit Accounts; (h) Cash; (i) Goods;</w:t>
      </w:r>
    </w:p>
    <w:p>
      <w:pPr>
        <w:spacing w:after="0" w:line="1" w:lineRule="exact"/>
        <w:rPr>
          <w:sz w:val="20"/>
          <w:szCs w:val="20"/>
          <w:color w:val="auto"/>
        </w:rPr>
      </w:pPr>
    </w:p>
    <w:p>
      <w:pPr>
        <w:jc w:val="both"/>
        <w:ind w:firstLine="8"/>
        <w:spacing w:after="0" w:line="232" w:lineRule="auto"/>
        <w:tabs>
          <w:tab w:leader="none" w:pos="26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tangible and intangible personal property of Borrower whether now or hereafter owned or existing, leased, consigned by or to, or acquired by, Borrower and wherever located, (k) any of Borrower’s property in the possession or under the control of Agent (other than Company IP), (l) to the extent not otherwise included, all Proceeds of each of the foregoing and all accessions to, substitutions and replacements for, and rents, profits and products of each of the foregoing, (m) all Accounts and General Intangibles that consist of rights to payment and proceeds from the sale, licensing or disposition of all or any part, or rights in, the Company IP (the “</w:t>
      </w:r>
      <w:r>
        <w:rPr>
          <w:rFonts w:ascii="Times New Roman" w:cs="Times New Roman" w:eastAsia="Times New Roman" w:hAnsi="Times New Roman"/>
          <w:sz w:val="22"/>
          <w:szCs w:val="22"/>
          <w:u w:val="single" w:color="auto"/>
          <w:color w:val="auto"/>
        </w:rPr>
        <w:t>Rights to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“Collateral” shall not include any property excluded by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Notwithstanding the foregoing, if a judicial authority (including a U.S. Bankruptcy Court) holds that a security interest in the underlying Company IP is necessary to have a security interest in the Rights to Payment, then the Collateral shall automatically, and effective as of the date of this Agreement, include the Company IP to the extent necessary to permit perfection of Agent’s security interest in the Rights to Payment.</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Notwithstanding the broad grant of the security interest set forth in Section 3.1, above, the term “Collateral” shall not include, and Borrower hereunder conveys no interest in, (a) any governmental licenses or state or local charters and authorizations to the extent a security interest is prohibited or restricted by any applicable law (except to the extent such prohibition or restriction is ineffective under the UCC or other applicable law), but only for so long as such prohibition or restriction exists, (b) any property owned by any Borrower that is subject to a purchase money Lien or a capital lease or similar arrangement permitted by this Agreement to the extent that the obligation pursuant to which such Lien is granted (or in the document, instrument or agreement providing for such capital lease) prohibits (or causes a default thereunder), invalidates such obligation, document, instrument or agreement or provides a right of termination in favor of any other party thereto (other than the applicable Borrower and its Affiliates) by granting, any other Lien or interest on such property (but only to the extent (i) such prohibition on transfer is enforceable under applicable law, including, without limitation, Sections 9-406, 9-407 and 9-408 of the UCC and (ii) no consent or waiver has been obtained that would permit Agent’s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spacing w:after="0" w:line="233" w:lineRule="auto"/>
        <w:rPr>
          <w:sz w:val="20"/>
          <w:szCs w:val="20"/>
          <w:color w:val="auto"/>
        </w:rPr>
      </w:pPr>
      <w:r>
        <w:rPr>
          <w:rFonts w:ascii="Times New Roman" w:cs="Times New Roman" w:eastAsia="Times New Roman" w:hAnsi="Times New Roman"/>
          <w:sz w:val="22"/>
          <w:szCs w:val="22"/>
          <w:color w:val="auto"/>
        </w:rPr>
        <w:t>security interest or lien to attach notwithstanding the prohibition or restriction on such property subject to such purchase money Lien or capital lease), (c) nonassignable licenses or contracts, which by their terms require the consent of the licensor thereof or another party (but only to the extent (i) such prohibition on transfer is enforceable under applicable law, including, without limitation, Sections 9-406, 9-407 and 9-408 of the UCC and (ii) no consent or waiver has been obtained that would permit Agent’s security interest or lien to attach notwithstanding the prohibition or restriction on the pledge of such lease, license or agreement), (d) any property to the extent that Agent, in its sole discretion, determines that the cost and/or burden of obtaining a security interest in such property outweigh the benefit to the Agent and the Lenders and (e) any Excluded Account. For the avoidance of doubt, the foregoing exclusions of clauses (b) and (c) shall in no way be construed to limit, impair, or otherwise affect any of Agent’s continuing security interests in and liens upon any rights or interests of any Borrower in or to (x) monies due or to become due under or in connection with any described lease, license or agreement or the property subject to such purchase money lien or capital lease, or (y) any proceeds from the sale, license, lease, or other dispositions of any such lease, license or agreement or the property subject to such purchase money lien or capital lease.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4CONDITIONS PRECEDENT TO LOAN</w:t>
      </w:r>
    </w:p>
    <w:p>
      <w:pPr>
        <w:spacing w:after="0" w:line="21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The obligations of the Lenders to make the Loan hereunder are subject to the satisfaction by Borrower of the following conditions: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4.1Initial Advance</w:t>
      </w:r>
      <w:r>
        <w:rPr>
          <w:rFonts w:ascii="Times New Roman" w:cs="Times New Roman" w:eastAsia="Times New Roman" w:hAnsi="Times New Roman"/>
          <w:sz w:val="22"/>
          <w:szCs w:val="22"/>
          <w:color w:val="auto"/>
        </w:rPr>
        <w:t>. On or prior to the Closing Date, Borrower shall have delivered to Agent the following:</w:t>
      </w:r>
    </w:p>
    <w:p>
      <w:pPr>
        <w:spacing w:after="0" w:line="206" w:lineRule="exact"/>
        <w:rPr>
          <w:sz w:val="20"/>
          <w:szCs w:val="20"/>
          <w:color w:val="auto"/>
        </w:rPr>
      </w:pPr>
    </w:p>
    <w:p>
      <w:pPr>
        <w:jc w:val="both"/>
        <w:ind w:firstLine="1505"/>
        <w:spacing w:after="0" w:line="239" w:lineRule="auto"/>
        <w:tabs>
          <w:tab w:leader="none" w:pos="2036"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executed copies of the Loan Documents and all other documents and instruments reasonably required by Agent to effectuate the transactions contemplated hereby or to create and perfect the Liens of Agent with respect to all Collateral (other than the specified Account Control Agreements described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in all cases in form and substance reasonably acceptable to Agent;</w:t>
      </w:r>
    </w:p>
    <w:p>
      <w:pPr>
        <w:spacing w:after="0" w:line="180"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legal opinion of Borrower’s counsel in form and substance reasonably acceptable to Agent;</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34" w:lineRule="auto"/>
        <w:tabs>
          <w:tab w:leader="none" w:pos="2036"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certified copy of resolutions of each Borrower’s Board of Directors evidencing (i) approval of the Loan and other transactions evidenced by the Loan Documents (ii) the authorization of a specified person or persons to execute the Loan Documents to which it is a party on its behalf; (iii) the authorization of a specified person or persons, on its behalf, to sign and/or dispatch all documents and notices (including, if relevant, any Advance Request or other relevant notice) to be signed and/or dispatched by it under or in connection with the Loan Documents to which it is a party; and (iv) (A) acknowledgement that the Board of Directors are acting for a proper purpose and that the Loan Documents are in the best interests of that Borrower and for its commercial benefit; and (B) acknowledgement that the relevant Borrower was solvent and there were reasonable grounds to expect that the relevant Borrower would continue to be solvent after executing and complying with its obligations under the Loan Documents;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certified copies of the Organizational Documents, as amended through the Closing Date, of Borrower;</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certificate of good standing for Borrower from its state of incorporation and similar certificates from all other jurisdictions in which it does business and where the failure to be qualified would reasonably be expected to have a Material Adverse Effect;</w:t>
      </w:r>
    </w:p>
    <w:p>
      <w:pPr>
        <w:spacing w:after="0" w:line="173"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spacing w:after="0" w:line="180" w:lineRule="exact"/>
        <w:rPr>
          <w:rFonts w:ascii="Times New Roman" w:cs="Times New Roman" w:eastAsia="Times New Roman" w:hAnsi="Times New Roman"/>
          <w:sz w:val="22"/>
          <w:szCs w:val="22"/>
          <w:u w:val="single" w:color="auto"/>
          <w:color w:val="auto"/>
        </w:rPr>
      </w:pPr>
    </w:p>
    <w:p>
      <w:pPr>
        <w:ind w:right="20" w:firstLine="1505"/>
        <w:spacing w:after="0" w:line="258" w:lineRule="auto"/>
        <w:tabs>
          <w:tab w:leader="none" w:pos="2036"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current searches at the U.S. Patent and Trademark Office or the U.S. Copyright Office, as applicable, listing issued or pending Current Company IP of Borrower;</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payment of the Initial Facility Charge and reimbursement of Agent’s and the Lenders’ current expenses reimbursable pursuant to this Agreement, which amounts may be deducted from the initial Advance, it being understood and agreed that the Due Diligence Fee previously paid shall be applied to the payment of the Lenders’ non-legal transaction costs and due diligence expenses;</w:t>
      </w:r>
    </w:p>
    <w:p>
      <w:pPr>
        <w:spacing w:after="0" w:line="180"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duly executed copy of the Perfection Certificate and each exhibit and addendum thereto;</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all reports, declarations and forms required by the SBA, including but not limited to SBA 652, SBA 1031</w:t>
      </w:r>
    </w:p>
    <w:p>
      <w:pPr>
        <w:spacing w:after="0" w:line="25"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and SBA 480; and</w:t>
      </w:r>
    </w:p>
    <w:p>
      <w:pPr>
        <w:spacing w:after="0" w:line="182" w:lineRule="exact"/>
        <w:rPr>
          <w:rFonts w:ascii="Times New Roman" w:cs="Times New Roman" w:eastAsia="Times New Roman" w:hAnsi="Times New Roman"/>
          <w:sz w:val="21"/>
          <w:szCs w:val="21"/>
          <w:u w:val="single" w:color="auto"/>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such other documents as Agent may reasonably request.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4.2All Advances</w:t>
      </w:r>
      <w:r>
        <w:rPr>
          <w:rFonts w:ascii="Times New Roman" w:cs="Times New Roman" w:eastAsia="Times New Roman" w:hAnsi="Times New Roman"/>
          <w:sz w:val="22"/>
          <w:szCs w:val="22"/>
          <w:color w:val="auto"/>
        </w:rPr>
        <w:t>. On each Advance Date:</w:t>
      </w:r>
    </w:p>
    <w:p>
      <w:pPr>
        <w:spacing w:after="0" w:line="206" w:lineRule="exact"/>
        <w:rPr>
          <w:sz w:val="20"/>
          <w:szCs w:val="20"/>
          <w:color w:val="auto"/>
        </w:rPr>
      </w:pPr>
    </w:p>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Agent shall have received (i) an Advance Request for the relevant Advance as required by </w:t>
      </w:r>
      <w:r>
        <w:rPr>
          <w:rFonts w:ascii="Times New Roman" w:cs="Times New Roman" w:eastAsia="Times New Roman" w:hAnsi="Times New Roman"/>
          <w:sz w:val="22"/>
          <w:szCs w:val="22"/>
          <w:u w:val="single" w:color="auto"/>
          <w:color w:val="auto"/>
        </w:rPr>
        <w:t>Section 2.2(g)</w:t>
      </w:r>
      <w:r>
        <w:rPr>
          <w:rFonts w:ascii="Times New Roman" w:cs="Times New Roman" w:eastAsia="Times New Roman" w:hAnsi="Times New Roman"/>
          <w:sz w:val="22"/>
          <w:szCs w:val="22"/>
          <w:color w:val="auto"/>
        </w:rPr>
        <w:t>, each duly executed by Borrower’s Chief Executive Officer or Chief Financial Officer, and (ii) any other documents related to Borrower’s business or financial condition that Agent, in good faith, may reasonably request promptly upon or prior to its receipt of such Advance Request, so long as such request does not result in the intentional delay or denial of the relevant Advance without cause.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firstLine="1505"/>
        <w:spacing w:after="0" w:line="244"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73"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At the time of and immediately after such Advance no Default or Event of Default shall have occurred</w:t>
      </w:r>
    </w:p>
    <w:p>
      <w:pPr>
        <w:spacing w:after="0" w:line="14"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and be continuing.</w:t>
      </w:r>
    </w:p>
    <w:p>
      <w:pPr>
        <w:spacing w:after="0" w:line="182"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 respect to any Tranche 2 Advance, Borrower shall have paid the Tranche 2 Facility Charge (which amount may be deducted from such Tranche 2 Advance).</w:t>
      </w:r>
    </w:p>
    <w:p>
      <w:pPr>
        <w:spacing w:after="0" w:line="158"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 respect to any Tranche 3 Advance, Borrower shall have paid the Tranche 3 Facility Charge (which amount may be deducted from such Tranche 3 Advance).</w:t>
      </w:r>
    </w:p>
    <w:p>
      <w:pPr>
        <w:spacing w:after="0" w:line="158"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 respect to any Tranche 4 Advance, Borrower shall have paid the Tranche 4 Facility Charge (which amount may be deducted from such Tranche 4 Advance).</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Each Advance Request shall be deemed to constitute a representation and warranty by Borrower on the relevant Advance Date as to the matters specified in paragraphs (b) and (c) of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as to the matters set forth in the Advance Request.</w:t>
      </w:r>
    </w:p>
    <w:p>
      <w:pPr>
        <w:spacing w:after="0" w:line="173"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of the date of each Tranche 2 Advance, the Tranche 2 Milestone shall be satisfied.</w:t>
      </w:r>
    </w:p>
    <w:p>
      <w:pPr>
        <w:spacing w:after="0" w:line="206"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of the date of each Tranche 3 Advance, the Tranche 3 Milestone shall be satisfied.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4.3No Default</w:t>
      </w:r>
      <w:r>
        <w:rPr>
          <w:rFonts w:ascii="Times New Roman" w:cs="Times New Roman" w:eastAsia="Times New Roman" w:hAnsi="Times New Roman"/>
          <w:sz w:val="22"/>
          <w:szCs w:val="22"/>
          <w:color w:val="auto"/>
        </w:rPr>
        <w:t>. As of the Closing Date and each Advance Date, (i) no Default or Event of Default shall have occurred and be continuing, and (ii) no event that has had or could reasonably be expected to have a Material Adverse Effect has occurred and is continuing.</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4.4Post-Closing</w:t>
      </w:r>
      <w:r>
        <w:rPr>
          <w:rFonts w:ascii="Times New Roman" w:cs="Times New Roman" w:eastAsia="Times New Roman" w:hAnsi="Times New Roman"/>
          <w:sz w:val="22"/>
          <w:szCs w:val="22"/>
          <w:color w:val="auto"/>
        </w:rPr>
        <w:t>. Borrower shall deliver to Agent the following, not later than the dates set forth below:</w:t>
      </w:r>
    </w:p>
    <w:p>
      <w:pPr>
        <w:spacing w:after="0" w:line="206" w:lineRule="exact"/>
        <w:rPr>
          <w:sz w:val="20"/>
          <w:szCs w:val="20"/>
          <w:color w:val="auto"/>
        </w:rPr>
      </w:pPr>
    </w:p>
    <w:p>
      <w:pPr>
        <w:jc w:val="both"/>
        <w:ind w:firstLine="1505"/>
        <w:spacing w:after="0" w:line="239" w:lineRule="auto"/>
        <w:tabs>
          <w:tab w:leader="none" w:pos="2036"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 later than thirty (30) days following the Closing Date (or such longer period of time as agreed to by Agent in writing in its sole discretion), duly executed landlord consents for its (i) chief executive office or its principal place of business and (ii) offices or business locations, including warehouses, containing in excess of Five Hundred Thousand Dollars ($500,000) of Borrower’s assets or property.</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36" w:lineRule="auto"/>
        <w:tabs>
          <w:tab w:leader="none" w:pos="2036"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 later than ten (10) Business Days following the Closing Date (or such longer period of time as agreed to by Agent in writing in its sole discretion), a duly executed Account Control Agreement regarding each Deposit Account or securities account (that is not an Excluded Account) maintained by any Borrower that is not already subject to an Account Control Agreement, provided that (i) no proceeds of any Advance shall be transferred to any Deposit Account that is not subject to an Account Control Agreement and (ii) notwithstanding the foregoing, the deadline for the account ending [***] listed on Exhibit D shall be sixty (60) days.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ind w:firstLine="1505"/>
        <w:spacing w:after="0" w:line="244" w:lineRule="auto"/>
        <w:tabs>
          <w:tab w:leader="none" w:pos="2036"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Not later than thirty (30) days following the Closing Date (or such longer period of time as agreed to by Agent in writing in its sole discretion), all insurance endorsements and copies of each insurance policy required by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hereunder.</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 later than thirty (30) days following the Closing Date (or such longer period of time as agreed to by Agent in writing in its sole discretion), Borrower shall cause the shares of common stock of the MSC Subsidiary and that are the subject of the pledged collateral under the Pledge Agreement to be certificated and the original certificate and power (undated and executed in blank) to be delivered to Agent.</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 later than forty-five (45) days following the Closing Date (or such longer period of time as agreed to by Agent in writing in its sole discretion), Borrower shall deliver to Agent the original certificate and power (undated and executed in blank) representing 65% of the shares of Disc Medicine Pty Ltd.</w:t>
      </w:r>
    </w:p>
    <w:p>
      <w:pPr>
        <w:spacing w:after="0" w:line="173"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 later than two (2) Business Days following the Closing Date (or such longer period of time as agreed to by Agent in writing in its sole discretion), all certificates of insurance required hereunder.</w:t>
      </w:r>
    </w:p>
    <w:p>
      <w:pPr>
        <w:spacing w:after="0" w:line="154" w:lineRule="exact"/>
        <w:rPr>
          <w:sz w:val="20"/>
          <w:szCs w:val="20"/>
          <w:color w:val="auto"/>
        </w:rPr>
      </w:pPr>
    </w:p>
    <w:p>
      <w:pPr>
        <w:ind w:left="760" w:right="2120" w:firstLine="1376"/>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SECTION 5REPRESENTATIONS AND WARRANTIES OF BORROWER </w:t>
      </w:r>
      <w:r>
        <w:rPr>
          <w:rFonts w:ascii="Times New Roman" w:cs="Times New Roman" w:eastAsia="Times New Roman" w:hAnsi="Times New Roman"/>
          <w:sz w:val="22"/>
          <w:szCs w:val="22"/>
          <w:color w:val="auto"/>
        </w:rPr>
        <w:t>Borrower represents and warrants that:</w:t>
      </w:r>
    </w:p>
    <w:p>
      <w:pPr>
        <w:spacing w:after="0" w:line="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5.1Corporate Status</w:t>
      </w:r>
      <w:r>
        <w:rPr>
          <w:rFonts w:ascii="Times New Roman" w:cs="Times New Roman" w:eastAsia="Times New Roman" w:hAnsi="Times New Roman"/>
          <w:sz w:val="22"/>
          <w:szCs w:val="22"/>
          <w:color w:val="auto"/>
        </w:rPr>
        <w:t xml:space="preserve">. Each Borrower is an entity of the type described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organized, legally existing and, to the extent applicable, is in good standing under the laws of its applicable jurisdiction or state of formation, and, to the extent applicable, is duly qualified as a foreign corporation in all jurisdictions in which the nature of its business or location of its properties require such qualifications and where the failure to be qualified would reasonably be expected to have a Material Adverse Effect. Borrower’s present name, former names (if any) during the five year period before the Closing Date, location of chief executive office, place of formation, Tax identification number, organizational identification number, if applicable, and other information are correctly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as may be updated by Borrower in a written notice (including any Compliance Certificate) provided to Agent after the Closing Date.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5.2Collateral</w:t>
      </w:r>
      <w:r>
        <w:rPr>
          <w:rFonts w:ascii="Times New Roman" w:cs="Times New Roman" w:eastAsia="Times New Roman" w:hAnsi="Times New Roman"/>
          <w:sz w:val="22"/>
          <w:szCs w:val="22"/>
          <w:color w:val="auto"/>
        </w:rPr>
        <w:t>. Borrower owns the Collateral and the Current Company IP, free of all Liens, except for Permitted Liens.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 has the power and authority to grant to Agent a Lien in the Collateral as security for the Secured Obligations.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5.3Consents</w:t>
      </w:r>
      <w:r>
        <w:rPr>
          <w:rFonts w:ascii="Times New Roman" w:cs="Times New Roman" w:eastAsia="Times New Roman" w:hAnsi="Times New Roman"/>
          <w:sz w:val="22"/>
          <w:szCs w:val="22"/>
          <w:color w:val="auto"/>
        </w:rPr>
        <w:t>. Borrower’s execution, delivery and performance of this Agreement and all other Loan Documents, (i) have been duly authorized by all necessary corporate or other requisite action of Borrower, (ii) will not result in the creation or imposition of any Lien upon the Collateral, other than Permitted Liens and the Liens created by this Agreement and the other Loan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Documents, (iii) do not violate any provisions of Borrower’s Organizational Documents, (iv) do not violate any material law, regulation, order, injunction, judgment, decree or writ to which Borrower is subject and (v) except as described on </w:t>
      </w:r>
      <w:r>
        <w:rPr>
          <w:rFonts w:ascii="Times New Roman" w:cs="Times New Roman" w:eastAsia="Times New Roman" w:hAnsi="Times New Roman"/>
          <w:sz w:val="22"/>
          <w:szCs w:val="22"/>
          <w:u w:val="single" w:color="auto"/>
          <w:color w:val="auto"/>
        </w:rPr>
        <w:t>Schedule 5.3</w:t>
      </w:r>
      <w:r>
        <w:rPr>
          <w:rFonts w:ascii="Times New Roman" w:cs="Times New Roman" w:eastAsia="Times New Roman" w:hAnsi="Times New Roman"/>
          <w:sz w:val="22"/>
          <w:szCs w:val="22"/>
          <w:color w:val="auto"/>
        </w:rPr>
        <w:t>, do not violate any material contract or agreement or require the consent or approval of any other Person which has not already been obtained. The individual or individuals executing the Loan Documents are duly authorized to do so.</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5.4Material Adverse Effect</w:t>
      </w:r>
      <w:r>
        <w:rPr>
          <w:rFonts w:ascii="Times New Roman" w:cs="Times New Roman" w:eastAsia="Times New Roman" w:hAnsi="Times New Roman"/>
          <w:sz w:val="22"/>
          <w:szCs w:val="22"/>
          <w:color w:val="auto"/>
        </w:rPr>
        <w:t xml:space="preserve">. No event that has had or could reasonably be expected to have a Material Adverse Effect has occurred and is continuing;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Borrower is not aware of any event likely to occur that is reasonably expected to result in a Material Adverse Effect.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5.5Actions Before Governmental Authorities</w:t>
      </w:r>
      <w:r>
        <w:rPr>
          <w:rFonts w:ascii="Times New Roman" w:cs="Times New Roman" w:eastAsia="Times New Roman" w:hAnsi="Times New Roman"/>
          <w:sz w:val="22"/>
          <w:szCs w:val="22"/>
          <w:color w:val="auto"/>
        </w:rPr>
        <w:t>. There are no actions, suits, claims, disputes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5.6Laws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46" w:lineRule="auto"/>
        <w:tabs>
          <w:tab w:leader="none" w:pos="2036" w:val="left"/>
        </w:tabs>
        <w:numPr>
          <w:ilvl w:val="0"/>
          <w:numId w:val="3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 w:cs="Times New Roman" w:eastAsia="Times New Roman" w:hAnsi="Times New Roman"/>
          <w:sz w:val="21"/>
          <w:szCs w:val="21"/>
          <w:u w:val="single" w:color="auto"/>
          <w:color w:val="auto"/>
        </w:rPr>
        <w:t>1940 Act</w:t>
      </w:r>
      <w:r>
        <w:rPr>
          <w:rFonts w:ascii="Times New Roman" w:cs="Times New Roman" w:eastAsia="Times New Roman" w:hAnsi="Times New Roman"/>
          <w:sz w:val="21"/>
          <w:szCs w:val="21"/>
          <w:color w:val="auto"/>
        </w:rPr>
        <w:t>”), or a company “controlled” by an “investment company” under the 1940 Act,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spacing w:after="0" w:line="244" w:lineRule="auto"/>
        <w:rPr>
          <w:sz w:val="20"/>
          <w:szCs w:val="20"/>
          <w:color w:val="auto"/>
        </w:rPr>
      </w:pPr>
      <w:r>
        <w:rPr>
          <w:rFonts w:ascii="Times New Roman" w:cs="Times New Roman" w:eastAsia="Times New Roman" w:hAnsi="Times New Roman"/>
          <w:sz w:val="22"/>
          <w:szCs w:val="22"/>
          <w:color w:val="auto"/>
        </w:rPr>
        <w:t>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3" w:lineRule="exact"/>
        <w:rPr>
          <w:sz w:val="20"/>
          <w:szCs w:val="20"/>
          <w:color w:val="auto"/>
        </w:rPr>
      </w:pPr>
    </w:p>
    <w:p>
      <w:pPr>
        <w:jc w:val="both"/>
        <w:ind w:firstLine="1505"/>
        <w:spacing w:after="0" w:line="233" w:lineRule="auto"/>
        <w:tabs>
          <w:tab w:leader="none" w:pos="2036"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None of Borrower, any of its Subsidiaries, nor,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nor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5.7Information Correct and Current</w:t>
      </w:r>
      <w:r>
        <w:rPr>
          <w:rFonts w:ascii="Times New Roman" w:cs="Times New Roman" w:eastAsia="Times New Roman" w:hAnsi="Times New Roman"/>
          <w:sz w:val="22"/>
          <w:szCs w:val="22"/>
          <w:color w:val="auto"/>
        </w:rPr>
        <w:t>. No information, report, Advance Request, financial statement, exhibit or schedule (other than financial or business projections or forecasts) furnished, by or on behalf of Borrower to Agent in connection with any Loan Document or included therein or delivered pursuant thereto, when taken as a whole, contained,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or forecasts provided by Borrower to Agent, whether prior to or after the Closing Date, shall be (i) provided in good faith and based on the most current data and information available to Borrower and (ii) the most current of such projections or forecasts provided to and approved by Borrower’s Board of Directors; it being understood by the Agent and the Lender that such projections or forecasts as to future events (x) are not to be viewed as facts, (y)(1) are subject to significant uncertainties and contingencies, many of which are beyond the control of Borrower, (2) no assurance is given by Borrower that the results forecast in any such projections or forecasts will be realized, and (3) the actual results during the period or periods covered by any such projections or forecasts may differ from the forecast results set forth in such projections or forecasts and such differences may be material, and (z) are not a guarantee of performance.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5.8Tax Matters</w:t>
      </w:r>
      <w:r>
        <w:rPr>
          <w:rFonts w:ascii="Times New Roman" w:cs="Times New Roman" w:eastAsia="Times New Roman" w:hAnsi="Times New Roman"/>
          <w:sz w:val="22"/>
          <w:szCs w:val="22"/>
          <w:color w:val="auto"/>
        </w:rPr>
        <w:t xml:space="preserve">. Except as described on </w:t>
      </w:r>
      <w:r>
        <w:rPr>
          <w:rFonts w:ascii="Times New Roman" w:cs="Times New Roman" w:eastAsia="Times New Roman" w:hAnsi="Times New Roman"/>
          <w:sz w:val="22"/>
          <w:szCs w:val="22"/>
          <w:u w:val="single" w:color="auto"/>
          <w:color w:val="auto"/>
        </w:rPr>
        <w:t>Schedule 5.8</w:t>
      </w:r>
      <w:r>
        <w:rPr>
          <w:rFonts w:ascii="Times New Roman" w:cs="Times New Roman" w:eastAsia="Times New Roman" w:hAnsi="Times New Roman"/>
          <w:sz w:val="22"/>
          <w:szCs w:val="22"/>
          <w:color w:val="auto"/>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39" w:lineRule="auto"/>
        <w:rPr>
          <w:sz w:val="20"/>
          <w:szCs w:val="20"/>
          <w:color w:val="auto"/>
        </w:rPr>
      </w:pPr>
      <w:r>
        <w:rPr>
          <w:rFonts w:ascii="Times New Roman" w:cs="Times New Roman" w:eastAsia="Times New Roman" w:hAnsi="Times New Roman"/>
          <w:sz w:val="22"/>
          <w:szCs w:val="22"/>
          <w:color w:val="auto"/>
        </w:rPr>
        <w:t>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would reasonably be expected to have, individually or in the aggregate, a Material Adverse Effect.</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5.9Current Company IP Claims</w:t>
      </w:r>
      <w:r>
        <w:rPr>
          <w:rFonts w:ascii="Times New Roman" w:cs="Times New Roman" w:eastAsia="Times New Roman" w:hAnsi="Times New Roman"/>
          <w:sz w:val="22"/>
          <w:szCs w:val="22"/>
          <w:color w:val="auto"/>
        </w:rPr>
        <w:t xml:space="preserve">. Borrower is the sole owner of, or otherwise has the right to use, the Current Company IP material to Borrower’s business. Except as described on </w:t>
      </w:r>
      <w:r>
        <w:rPr>
          <w:rFonts w:ascii="Times New Roman" w:cs="Times New Roman" w:eastAsia="Times New Roman" w:hAnsi="Times New Roman"/>
          <w:sz w:val="22"/>
          <w:szCs w:val="22"/>
          <w:u w:val="single" w:color="auto"/>
          <w:color w:val="auto"/>
        </w:rPr>
        <w:t>Schedule 5.9</w:t>
      </w:r>
      <w:r>
        <w:rPr>
          <w:rFonts w:ascii="Times New Roman" w:cs="Times New Roman" w:eastAsia="Times New Roman" w:hAnsi="Times New Roman"/>
          <w:sz w:val="22"/>
          <w:szCs w:val="22"/>
          <w:color w:val="auto"/>
        </w:rPr>
        <w:t>, (i) to the knowledge of any Borrower, each of the material Copyrights, Trademarks and Patents is valid and enforceable, (ii) no material part of the Current Company IP has been judged invalid or unenforceable, in whole or in part, and (iii) no claim has been made to Borrower that any material part of the Current Company IP violates the rights of any third party. Section 5 of the Perfection Certificate contains a true, correct and complete list of each of Borrower’s Patents, registered Trademarks, registered Copyrights, and Material Agreements under which Borrower licenses Current Company IP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5.10Current Company 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2" w:lineRule="auto"/>
        <w:tabs>
          <w:tab w:leader="none" w:pos="2036"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true, correct and complete list of each pending, registered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Products, and is owned or co-owned by or exclusively or non-exclusively licensed to Borrower or any of its Subsidiaries (collectively, the “</w:t>
      </w:r>
      <w:r>
        <w:rPr>
          <w:rFonts w:ascii="Times New Roman" w:cs="Times New Roman" w:eastAsia="Times New Roman" w:hAnsi="Times New Roman"/>
          <w:sz w:val="22"/>
          <w:szCs w:val="22"/>
          <w:u w:val="single" w:color="auto"/>
          <w:color w:val="auto"/>
        </w:rPr>
        <w:t>Current Company IP</w:t>
      </w:r>
      <w:r>
        <w:rPr>
          <w:rFonts w:ascii="Times New Roman" w:cs="Times New Roman" w:eastAsia="Times New Roman" w:hAnsi="Times New Roman"/>
          <w:sz w:val="22"/>
          <w:szCs w:val="22"/>
          <w:color w:val="auto"/>
        </w:rPr>
        <w:t xml:space="preserve">”), including its name/title, current owner or co-owners (including ownership interest), registration, patent or application number, and registration or application date, issued or filed in the United States of America, is set forth on </w:t>
      </w:r>
      <w:r>
        <w:rPr>
          <w:rFonts w:ascii="Times New Roman" w:cs="Times New Roman" w:eastAsia="Times New Roman" w:hAnsi="Times New Roman"/>
          <w:sz w:val="22"/>
          <w:szCs w:val="22"/>
          <w:u w:val="single" w:color="auto"/>
          <w:color w:val="auto"/>
        </w:rPr>
        <w:t>Schedule 5.10(a)</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5.10(a)</w:t>
      </w:r>
      <w:r>
        <w:rPr>
          <w:rFonts w:ascii="Times New Roman" w:cs="Times New Roman" w:eastAsia="Times New Roman" w:hAnsi="Times New Roman"/>
          <w:sz w:val="22"/>
          <w:szCs w:val="22"/>
          <w:color w:val="auto"/>
        </w:rPr>
        <w:t xml:space="preserve">, (i) (A) to the knowledge of any Borrower,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any Borrower, there are no published Patents, Patent applications, articles or prior art references (other than prior art cited in any of Borrower’s patent prosecution) that would reasonably be expected to materially adversely affect the exploitation of the Products. Except as set forth on </w:t>
      </w:r>
      <w:r>
        <w:rPr>
          <w:rFonts w:ascii="Times New Roman" w:cs="Times New Roman" w:eastAsia="Times New Roman" w:hAnsi="Times New Roman"/>
          <w:sz w:val="22"/>
          <w:szCs w:val="22"/>
          <w:u w:val="single" w:color="auto"/>
          <w:color w:val="auto"/>
        </w:rPr>
        <w:t>Schedule 5.10(a)</w:t>
      </w:r>
      <w:r>
        <w:rPr>
          <w:rFonts w:ascii="Times New Roman" w:cs="Times New Roman" w:eastAsia="Times New Roman" w:hAnsi="Times New Roman"/>
          <w:sz w:val="22"/>
          <w:szCs w:val="22"/>
          <w:color w:val="auto"/>
        </w:rPr>
        <w:t>, (x) each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35" w:lineRule="auto"/>
        <w:rPr>
          <w:sz w:val="20"/>
          <w:szCs w:val="20"/>
          <w:color w:val="auto"/>
        </w:rPr>
      </w:pPr>
      <w:r>
        <w:rPr>
          <w:rFonts w:ascii="Times New Roman" w:cs="Times New Roman" w:eastAsia="Times New Roman" w:hAnsi="Times New Roman"/>
          <w:sz w:val="22"/>
          <w:szCs w:val="22"/>
          <w:color w:val="auto"/>
        </w:rPr>
        <w:t>Person who has or has had any rights in or to owned Current Company IP or any trade secrets owned by Borrower or any of its Subsidiaries, including each inventor named on the Patents within such owned Current Company IP filed by Borrower or any of its Subsidiaries, has executed an agreement assigning his, her or its entire right, title and interest in and to such owned Current Company IP and such trade secrets, and the inventions, improvements,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Products or entitle such Person to ongoing payments.</w:t>
      </w:r>
    </w:p>
    <w:p>
      <w:pPr>
        <w:spacing w:after="0" w:line="183" w:lineRule="exact"/>
        <w:rPr>
          <w:sz w:val="20"/>
          <w:szCs w:val="20"/>
          <w:color w:val="auto"/>
        </w:rPr>
      </w:pPr>
    </w:p>
    <w:p>
      <w:pPr>
        <w:jc w:val="both"/>
        <w:ind w:firstLine="1505"/>
        <w:spacing w:after="0" w:line="244" w:lineRule="auto"/>
        <w:tabs>
          <w:tab w:leader="none" w:pos="2036"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 Borrower or any of its Subsidiaries possesses valid title to the Current Company IP for which it is listed as the owner or co-owner, as applicable, on </w:t>
      </w:r>
      <w:r>
        <w:rPr>
          <w:rFonts w:ascii="Times New Roman" w:cs="Times New Roman" w:eastAsia="Times New Roman" w:hAnsi="Times New Roman"/>
          <w:sz w:val="22"/>
          <w:szCs w:val="22"/>
          <w:u w:val="single" w:color="auto"/>
          <w:color w:val="auto"/>
        </w:rPr>
        <w:t>Schedule 5.10(a)</w:t>
      </w:r>
      <w:r>
        <w:rPr>
          <w:rFonts w:ascii="Times New Roman" w:cs="Times New Roman" w:eastAsia="Times New Roman" w:hAnsi="Times New Roman"/>
          <w:sz w:val="22"/>
          <w:szCs w:val="22"/>
          <w:color w:val="auto"/>
        </w:rPr>
        <w:t xml:space="preserve">; and (ii) other than Permitted Liens described in </w:t>
      </w:r>
      <w:r>
        <w:rPr>
          <w:rFonts w:ascii="Times New Roman" w:cs="Times New Roman" w:eastAsia="Times New Roman" w:hAnsi="Times New Roman"/>
          <w:sz w:val="22"/>
          <w:szCs w:val="22"/>
          <w:u w:val="single" w:color="auto"/>
          <w:color w:val="auto"/>
        </w:rPr>
        <w:t>clause (xvii)</w:t>
      </w:r>
      <w:r>
        <w:rPr>
          <w:rFonts w:ascii="Times New Roman" w:cs="Times New Roman" w:eastAsia="Times New Roman" w:hAnsi="Times New Roman"/>
          <w:sz w:val="22"/>
          <w:szCs w:val="22"/>
          <w:color w:val="auto"/>
        </w:rPr>
        <w:t xml:space="preserve"> of the definition thereof, there are no Liens on any Current Company IP.</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6" w:lineRule="auto"/>
        <w:tabs>
          <w:tab w:leader="none" w:pos="2036"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There are no maintenance, annuity or renewal fees that are currently overdue beyond their allotted grace period for any of the Current Company IP which is owned or exclusively licensed to Borrower or any of its Subsidiaries, nor have any applications or registrations therefore lapsed or become abandoned, been cancelled or expired. There are no maintenance, annuity or renewal fees that are currently overdue beyond their allotted grace period for any of the Current Company IP which is non-exclusively licensed to Borrower or any of its Subsidiaries, nor have any applications or registrations therefor lapsed or become abandoned, been cancelled or expired.</w:t>
      </w:r>
    </w:p>
    <w:p>
      <w:pPr>
        <w:spacing w:after="0" w:line="181" w:lineRule="exact"/>
        <w:rPr>
          <w:rFonts w:ascii="Times New Roman" w:cs="Times New Roman" w:eastAsia="Times New Roman" w:hAnsi="Times New Roman"/>
          <w:sz w:val="22"/>
          <w:szCs w:val="22"/>
          <w:u w:val="single" w:color="auto"/>
          <w:color w:val="auto"/>
        </w:rPr>
      </w:pPr>
    </w:p>
    <w:p>
      <w:pPr>
        <w:jc w:val="both"/>
        <w:ind w:firstLine="1505"/>
        <w:spacing w:after="0" w:line="234" w:lineRule="auto"/>
        <w:tabs>
          <w:tab w:leader="none" w:pos="2036"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Neither Borrower nor any of its Subsidiaries, as applicable, is in breach of or default in any manner that could reasonably be expected to materially affect the Products under any Material Agreement to which it is a party or may otherwise be bound, and no circumstances or grounds exists that would give rise to a claim of breach or right of rescission, termination, non-renewal, revision or amendment of any of the Material Agreements, including the execution, delivery and performance of this Agreement and the other Loan Documents.</w:t>
      </w:r>
    </w:p>
    <w:p>
      <w:pPr>
        <w:spacing w:after="0" w:line="183"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 payments by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Neither Borrower nor any of its Subsidiaries has undertaken or omitted to undertake any acts, and no circumstance or grounds exist, that would invalidate or render unenforceable (i) any Current Company IP in any manner that could reasonably be expected to materially adversely affect the Products, or (ii) in the case of Current Company IP owned or co-owned or exclusively or non-exclusively licensed by Borrower or any of its Subsidiaries, in each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22"/>
          <w:szCs w:val="22"/>
          <w:color w:val="auto"/>
        </w:rPr>
        <w:t xml:space="preserve">case except as set forth on </w:t>
      </w:r>
      <w:r>
        <w:rPr>
          <w:rFonts w:ascii="Times New Roman" w:cs="Times New Roman" w:eastAsia="Times New Roman" w:hAnsi="Times New Roman"/>
          <w:sz w:val="22"/>
          <w:szCs w:val="22"/>
          <w:u w:val="single" w:color="auto"/>
          <w:color w:val="auto"/>
        </w:rPr>
        <w:t>Schedule 5.10(f)</w:t>
      </w:r>
      <w:r>
        <w:rPr>
          <w:rFonts w:ascii="Times New Roman" w:cs="Times New Roman" w:eastAsia="Times New Roman" w:hAnsi="Times New Roman"/>
          <w:sz w:val="22"/>
          <w:szCs w:val="22"/>
          <w:color w:val="auto"/>
        </w:rPr>
        <w:t>, Borrower’s or Subsidiary’s entitlement to own or license and exploit such Current Company IP.</w:t>
      </w:r>
    </w:p>
    <w:p>
      <w:pPr>
        <w:spacing w:after="0" w:line="158" w:lineRule="exact"/>
        <w:rPr>
          <w:sz w:val="20"/>
          <w:szCs w:val="20"/>
          <w:color w:val="auto"/>
        </w:rPr>
      </w:pPr>
    </w:p>
    <w:p>
      <w:pPr>
        <w:jc w:val="both"/>
        <w:ind w:firstLine="1505"/>
        <w:spacing w:after="0" w:line="234" w:lineRule="auto"/>
        <w:tabs>
          <w:tab w:leader="none" w:pos="2036"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described on </w:t>
      </w:r>
      <w:r>
        <w:rPr>
          <w:rFonts w:ascii="Times New Roman" w:cs="Times New Roman" w:eastAsia="Times New Roman" w:hAnsi="Times New Roman"/>
          <w:sz w:val="22"/>
          <w:szCs w:val="22"/>
          <w:u w:val="single" w:color="auto"/>
          <w:color w:val="auto"/>
        </w:rPr>
        <w:t>Schedule 5.10(g)</w:t>
      </w:r>
      <w:r>
        <w:rPr>
          <w:rFonts w:ascii="Times New Roman" w:cs="Times New Roman" w:eastAsia="Times New Roman" w:hAnsi="Times New Roman"/>
          <w:sz w:val="22"/>
          <w:szCs w:val="22"/>
          <w:color w:val="auto"/>
        </w:rPr>
        <w:t xml:space="preserve"> or in the most recently delivered Compliance Certificate in accordance with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Times New Roman" w:cs="Times New Roman" w:eastAsia="Times New Roman" w:hAnsi="Times New Roman"/>
          <w:sz w:val="22"/>
          <w:szCs w:val="22"/>
          <w:u w:val="single" w:color="auto"/>
          <w:color w:val="auto"/>
        </w:rPr>
        <w:t>Specified Disputes</w:t>
      </w:r>
      <w:r>
        <w:rPr>
          <w:rFonts w:ascii="Times New Roman" w:cs="Times New Roman" w:eastAsia="Times New Roman" w:hAnsi="Times New Roman"/>
          <w:sz w:val="22"/>
          <w:szCs w:val="22"/>
          <w:color w:val="auto"/>
        </w:rPr>
        <w:t>”), nor to the knowledge of any Borrower, has any such Specified Dispute been threatened in writing, in each case challenging the legality, validity, enforceability or ownership of any Current Company IP, in each case that would have a material adverse effect on the Products.</w:t>
      </w:r>
    </w:p>
    <w:p>
      <w:pPr>
        <w:spacing w:after="0" w:line="183"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each case where an issued Patent within the Current Company IP is owned or co-owned by Borrower or any of its Subsidiaries by assignment, the assignment has been duly recorded with the U.S. Patent and Trademark Office.</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36" w:lineRule="auto"/>
        <w:tabs>
          <w:tab w:leader="none" w:pos="2036"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5.10(i)</w:t>
      </w:r>
      <w:r>
        <w:rPr>
          <w:rFonts w:ascii="Times New Roman" w:cs="Times New Roman" w:eastAsia="Times New Roman" w:hAnsi="Times New Roman"/>
          <w:sz w:val="22"/>
          <w:szCs w:val="22"/>
          <w:color w:val="auto"/>
        </w:rPr>
        <w:t xml:space="preserve"> there are no pending or, to the knowledge of any Borrower, threatened claims against Borrower or any of its Subsidiaries alleging (i) that any research, development, manufacture, production, use, commercialization, marketing, importing, storage, transport, offer for sale, distribution or sale of the Products in the United States of America infringes or violates (or in the past infringed or violated) the rights of any third parties in or to any Intellectual Property (“</w:t>
      </w:r>
      <w:r>
        <w:rPr>
          <w:rFonts w:ascii="Times New Roman" w:cs="Times New Roman" w:eastAsia="Times New Roman" w:hAnsi="Times New Roman"/>
          <w:sz w:val="22"/>
          <w:szCs w:val="22"/>
          <w:u w:val="single" w:color="auto"/>
          <w:color w:val="auto"/>
        </w:rPr>
        <w:t>Third Party IP</w:t>
      </w:r>
      <w:r>
        <w:rPr>
          <w:rFonts w:ascii="Times New Roman" w:cs="Times New Roman" w:eastAsia="Times New Roman" w:hAnsi="Times New Roman"/>
          <w:sz w:val="22"/>
          <w:szCs w:val="22"/>
          <w:color w:val="auto"/>
        </w:rPr>
        <w:t>”) or constitutes a misappropriation of (or in the past constituted a misappropriation of) any Third Party IP, or (ii) that any Current Company IP is invalid or unenforceable.</w:t>
      </w:r>
    </w:p>
    <w:p>
      <w:pPr>
        <w:spacing w:after="0" w:line="181" w:lineRule="exact"/>
        <w:rPr>
          <w:rFonts w:ascii="Times New Roman" w:cs="Times New Roman" w:eastAsia="Times New Roman" w:hAnsi="Times New Roman"/>
          <w:sz w:val="22"/>
          <w:szCs w:val="22"/>
          <w:u w:val="single" w:color="auto"/>
          <w:color w:val="auto"/>
        </w:rPr>
      </w:pPr>
    </w:p>
    <w:p>
      <w:pPr>
        <w:jc w:val="both"/>
        <w:ind w:firstLine="1505"/>
        <w:spacing w:after="0" w:line="251" w:lineRule="auto"/>
        <w:tabs>
          <w:tab w:leader="none" w:pos="2036" w:val="left"/>
        </w:tabs>
        <w:numPr>
          <w:ilvl w:val="0"/>
          <w:numId w:val="4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5.10(j)</w:t>
      </w:r>
      <w:r>
        <w:rPr>
          <w:rFonts w:ascii="Times New Roman" w:cs="Times New Roman" w:eastAsia="Times New Roman" w:hAnsi="Times New Roman"/>
          <w:sz w:val="21"/>
          <w:szCs w:val="21"/>
          <w:color w:val="auto"/>
        </w:rPr>
        <w:t>, the manufacture, production, use, commercialization, marketing, importing, storage, transport, offer for sale, distribution or sale of the Products does not, to the knowledge of any Borrower, infringe or violate (or in the past infringed or violated) any issued or registered Third Party IP (including any issued Patent within the Third Party IP) or constitute a misappropriation of (or in the past constituted a misappropriation of) any Third Party IP, in each case, in a manner that would reasonably be expected to materially adversely affect the exploitation of the Products.</w:t>
      </w:r>
    </w:p>
    <w:p>
      <w:pPr>
        <w:spacing w:after="0" w:line="168" w:lineRule="exact"/>
        <w:rPr>
          <w:rFonts w:ascii="Times New Roman" w:cs="Times New Roman" w:eastAsia="Times New Roman" w:hAnsi="Times New Roman"/>
          <w:sz w:val="21"/>
          <w:szCs w:val="21"/>
          <w:u w:val="single" w:color="auto"/>
          <w:color w:val="auto"/>
        </w:rPr>
      </w:pPr>
    </w:p>
    <w:p>
      <w:pPr>
        <w:jc w:val="both"/>
        <w:ind w:firstLine="1505"/>
        <w:spacing w:after="0" w:line="238" w:lineRule="auto"/>
        <w:tabs>
          <w:tab w:leader="none" w:pos="2036"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5.10(k)</w:t>
      </w:r>
      <w:r>
        <w:rPr>
          <w:rFonts w:ascii="Times New Roman" w:cs="Times New Roman" w:eastAsia="Times New Roman" w:hAnsi="Times New Roman"/>
          <w:sz w:val="22"/>
          <w:szCs w:val="22"/>
          <w:color w:val="auto"/>
        </w:rPr>
        <w:t>,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Products (in order to accommodate any Third Party IP or otherwise), or (ii) permit any third parties to use any Current Company IP.</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5.10(l)</w:t>
      </w:r>
      <w:r>
        <w:rPr>
          <w:rFonts w:ascii="Times New Roman" w:cs="Times New Roman" w:eastAsia="Times New Roman" w:hAnsi="Times New Roman"/>
          <w:sz w:val="22"/>
          <w:szCs w:val="22"/>
          <w:color w:val="auto"/>
        </w:rPr>
        <w:t>, to the knowledge of any Borrower (i) there is no, nor has there been any, infringement or violation by any Person of any of the Current Company IP or the rights therein, and (ii) there is no, nor has there been any, misappropriation by any Person of any Current Company IP or the subject matter thereof.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ind w:firstLine="1505"/>
        <w:spacing w:after="0" w:line="239" w:lineRule="auto"/>
        <w:tabs>
          <w:tab w:leader="none" w:pos="2036"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Borrower and each of its Subsidiaries has taken commercially reasonable measures customary in the biopharmaceutical industry to protect the confidentiality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Products.</w:t>
      </w:r>
    </w:p>
    <w:p>
      <w:pPr>
        <w:spacing w:after="0" w:line="180"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Except as described on </w:t>
      </w:r>
      <w:r>
        <w:rPr>
          <w:rFonts w:ascii="Times New Roman" w:cs="Times New Roman" w:eastAsia="Times New Roman" w:hAnsi="Times New Roman"/>
          <w:sz w:val="22"/>
          <w:szCs w:val="22"/>
          <w:u w:val="single" w:color="auto"/>
          <w:color w:val="auto"/>
        </w:rPr>
        <w:t>Schedule 5.10(o)</w:t>
      </w:r>
      <w:r>
        <w:rPr>
          <w:rFonts w:ascii="Times New Roman" w:cs="Times New Roman" w:eastAsia="Times New Roman" w:hAnsi="Times New Roman"/>
          <w:sz w:val="22"/>
          <w:szCs w:val="22"/>
          <w:color w:val="auto"/>
        </w:rPr>
        <w:t>, Borrower has all material rights with respect to Intellectual Property necessary, or other than would not be expected to cause a Material Adverse Effect, with respect to Current Company IP material in the operation or conduct of Borrower’s business as currently conducted and proposed to be conducted by Borrower. Without limiting the generality of the foregoing, and in the case of Licenses, except for restrictions that are unenforceable under Article 9 of the UCC, Borrower has the right, to the extent required to operate Borrower’s business, to freely transfer, license or assign Current Company IP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w:t>
      </w:r>
    </w:p>
    <w:p>
      <w:pPr>
        <w:spacing w:after="0" w:line="184" w:lineRule="exact"/>
        <w:rPr>
          <w:rFonts w:ascii="Times New Roman" w:cs="Times New Roman" w:eastAsia="Times New Roman" w:hAnsi="Times New Roman"/>
          <w:sz w:val="22"/>
          <w:szCs w:val="22"/>
          <w:u w:val="single" w:color="auto"/>
          <w:color w:val="auto"/>
        </w:rPr>
      </w:pPr>
    </w:p>
    <w:p>
      <w:pPr>
        <w:jc w:val="both"/>
        <w:ind w:firstLine="1505"/>
        <w:spacing w:after="0" w:line="249" w:lineRule="auto"/>
        <w:tabs>
          <w:tab w:leader="none" w:pos="2036" w:val="left"/>
        </w:tabs>
        <w:numPr>
          <w:ilvl w:val="0"/>
          <w:numId w:val="4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w:t>
      </w:r>
      <w:r>
        <w:rPr>
          <w:rFonts w:ascii="Times New Roman" w:cs="Times New Roman" w:eastAsia="Times New Roman" w:hAnsi="Times New Roman"/>
          <w:sz w:val="21"/>
          <w:szCs w:val="21"/>
          <w:u w:val="single" w:color="auto"/>
          <w:color w:val="auto"/>
        </w:rPr>
        <w:t>Open Source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Licenses</w:t>
      </w:r>
      <w:r>
        <w:rPr>
          <w:rFonts w:ascii="Times New Roman" w:cs="Times New Roman" w:eastAsia="Times New Roman" w:hAnsi="Times New Roman"/>
          <w:sz w:val="21"/>
          <w:szCs w:val="21"/>
          <w:color w:val="auto"/>
        </w:rPr>
        <w:t>”)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5.11Borrower Products</w:t>
      </w:r>
      <w:r>
        <w:rPr>
          <w:rFonts w:ascii="Times New Roman" w:cs="Times New Roman" w:eastAsia="Times New Roman" w:hAnsi="Times New Roman"/>
          <w:sz w:val="22"/>
          <w:szCs w:val="22"/>
          <w:color w:val="auto"/>
        </w:rPr>
        <w:t xml:space="preserve">. Except as described on </w:t>
      </w:r>
      <w:r>
        <w:rPr>
          <w:rFonts w:ascii="Times New Roman" w:cs="Times New Roman" w:eastAsia="Times New Roman" w:hAnsi="Times New Roman"/>
          <w:sz w:val="22"/>
          <w:szCs w:val="22"/>
          <w:u w:val="single" w:color="auto"/>
          <w:color w:val="auto"/>
        </w:rPr>
        <w:t>Schedule 5.11</w:t>
      </w:r>
      <w:r>
        <w:rPr>
          <w:rFonts w:ascii="Times New Roman" w:cs="Times New Roman" w:eastAsia="Times New Roman" w:hAnsi="Times New Roman"/>
          <w:sz w:val="22"/>
          <w:szCs w:val="22"/>
          <w:color w:val="auto"/>
        </w:rPr>
        <w:t>, no Current Company IP owned by Borrower and material in its business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challenging or questioning Borrower’s ownership in any Current Company IP (or written notice of any claim challenging or questioning the ownership in any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22"/>
          <w:szCs w:val="22"/>
          <w:color w:val="auto"/>
        </w:rPr>
        <w:t>licensed Current Company IP of the owner thereof) or suggesting that any third party has any claim of legal or beneficial ownership with respect thereto nor, to Borrower’s knowledge, is there a reasonable basis for any such claim.</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5.12Financial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and address of each bank or other institution, the name in which the account is held, a description of the purpose of the account, and the complete account number therefor.</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5.13Employee Loans</w:t>
      </w:r>
      <w:r>
        <w:rPr>
          <w:rFonts w:ascii="Times New Roman" w:cs="Times New Roman" w:eastAsia="Times New Roman" w:hAnsi="Times New Roman"/>
          <w:sz w:val="22"/>
          <w:szCs w:val="22"/>
          <w:color w:val="auto"/>
        </w:rPr>
        <w:t>. Borrower has no outstanding loans to any employee, officer or director of Borrower nor has Borrower guaranteed the payment of any loan made to an employee, officer or director of Borrower by a third party except as permitted hereunder.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5.14Capitalization and Subsidiaries</w:t>
      </w:r>
      <w:r>
        <w:rPr>
          <w:rFonts w:ascii="Times New Roman" w:cs="Times New Roman" w:eastAsia="Times New Roman" w:hAnsi="Times New Roman"/>
          <w:sz w:val="22"/>
          <w:szCs w:val="22"/>
          <w:color w:val="auto"/>
        </w:rPr>
        <w:t xml:space="preserve">. Borrower’s capitalization as of the Closing Date is set forth on part B of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5.14</w:t>
      </w:r>
      <w:r>
        <w:rPr>
          <w:rFonts w:ascii="Times New Roman" w:cs="Times New Roman" w:eastAsia="Times New Roman" w:hAnsi="Times New Roman"/>
          <w:sz w:val="22"/>
          <w:szCs w:val="22"/>
          <w:color w:val="auto"/>
        </w:rPr>
        <w:t xml:space="preserve"> annexed hereto. Borrower does not own any stock, partnership interest or other securities of any Person, except for Permitted Investments. Attached as part A of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as may be updated by Borrower in a written notice provided after the Closing Date, is a true, correct and complete list of each Subsidiary.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5.15Solvency</w:t>
      </w:r>
      <w:r>
        <w:rPr>
          <w:rFonts w:ascii="Times New Roman" w:cs="Times New Roman" w:eastAsia="Times New Roman" w:hAnsi="Times New Roman"/>
          <w:sz w:val="22"/>
          <w:szCs w:val="22"/>
          <w:color w:val="auto"/>
        </w:rPr>
        <w:t>. (i) The fair saleable value of Borrower’s consolidated assets exceeds the fair value of Borrower’s liabilities; (ii) Borrower is not left with unreasonably small capital after the transactions in the Loan Documents; and (iii) Borrower is able to pay its debts (including trade debts) as they become due.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6INSURANCE; INDEMNIFICATION</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6.1Coverage</w:t>
      </w:r>
      <w:r>
        <w:rPr>
          <w:rFonts w:ascii="Times New Roman" w:cs="Times New Roman" w:eastAsia="Times New Roman" w:hAnsi="Times New Roman"/>
          <w:sz w:val="22"/>
          <w:szCs w:val="22"/>
          <w:color w:val="auto"/>
        </w:rPr>
        <w:t xml:space="preserv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and contractual liability per the terms of the indemnification agreement found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Borrower must maintain a minimum of $2,000,000 of commercial general liability insurance for each occurrence. Borrower has and agrees to maintain a minimum of $4,000,000 of directors’ and officers’ insurance for each occurrence and $10,000,000 in the aggregate.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payments by Agent are deemed an agreement to make similar payments in the future or Agent’s waiver of any Event of Default.</w:t>
      </w:r>
    </w:p>
    <w:p>
      <w:pPr>
        <w:spacing w:after="0" w:line="21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6.2Certificates</w:t>
      </w:r>
      <w:r>
        <w:rPr>
          <w:rFonts w:ascii="Times New Roman" w:cs="Times New Roman" w:eastAsia="Times New Roman" w:hAnsi="Times New Roman"/>
          <w:sz w:val="21"/>
          <w:szCs w:val="21"/>
          <w:color w:val="auto"/>
        </w:rPr>
        <w:t xml:space="preserve">. Borrower shall deliver to Agent certificates of insurance that evidence Borrower’s compliance with its insurance obligations in Section 6.1 and the obligations contained in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Borrower’s insurance certificate shall state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w:t>
      </w:r>
    </w:p>
    <w:p>
      <w:pPr>
        <w:ind w:left="440" w:hanging="432"/>
        <w:spacing w:after="0" w:line="236" w:lineRule="auto"/>
        <w:tabs>
          <w:tab w:leader="none" w:pos="4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advance written notice to Agent of cancellation (other than cancellation for non-payment of premiums, for which ten</w:t>
      </w:r>
    </w:p>
    <w:p>
      <w:pPr>
        <w:jc w:val="both"/>
        <w:ind w:firstLine="8"/>
        <w:spacing w:after="0" w:line="233" w:lineRule="auto"/>
        <w:tabs>
          <w:tab w:leader="none" w:pos="43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advance written notice shall be sufficient) or any other change adverse to Agent’s interests. Any failure of Agent to scrutinize such insurance certificates for compliance is not a waiver of any of Agent’s rights, all of which are reserved. At Agent’s written request, Borrower shall provide Agent with copies of each insurance policy, and upon entering or amending any insurance policy required hereunder in any material respect, Borrower shall provide Agent with copies of such policies and shall promptly deliver to Agent updated insurance certificates with respect to such policies.</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6.3Indemnity.</w:t>
      </w:r>
      <w:r>
        <w:rPr>
          <w:rFonts w:ascii="Times New Roman" w:cs="Times New Roman" w:eastAsia="Times New Roman" w:hAnsi="Times New Roman"/>
          <w:sz w:val="22"/>
          <w:szCs w:val="22"/>
          <w:color w:val="auto"/>
        </w:rPr>
        <w:t xml:space="preserve"> Borrower agrees to indemnify and hold Agent, the Lenders and their officers, directors, employees, agents, in-house attorneys, representatives and shareholders (each, an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harmless from and against any and all claims, costs, expenses, damages and liabilities (including such claims, costs, expenses, damages and liabilities based on liability in tort, including strict liability in tort), including reasonable and documented attorneys’ fees and out-of-pocket disbursements and other costs of investigation or defense (including those incurred upon any appeal) (collectively,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willful misconduct or breach in bad faith of its obligations hereunder.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7COVENANTS OF BORROWER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Borrower agrees as follows: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7.1Financial Reports</w:t>
      </w:r>
      <w:r>
        <w:rPr>
          <w:rFonts w:ascii="Times New Roman" w:cs="Times New Roman" w:eastAsia="Times New Roman" w:hAnsi="Times New Roman"/>
          <w:sz w:val="22"/>
          <w:szCs w:val="22"/>
          <w:color w:val="auto"/>
        </w:rPr>
        <w:t>. Borrower shall furnish to Agent the financial statements and reports listed hereinafter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firstLine="1505"/>
        <w:spacing w:after="0" w:line="244" w:lineRule="auto"/>
        <w:tabs>
          <w:tab w:leader="none" w:pos="2036" w:val="left"/>
        </w:tabs>
        <w:numPr>
          <w:ilvl w:val="1"/>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soon as practicable (and in any event within thirty (30) days) after the end of each month, unaudited interim and year-to-date cash balance reports as of the end of such month and listing of amounts held in each deposit and securities account of Borrower;</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45" w:lineRule="auto"/>
        <w:tabs>
          <w:tab w:leader="none" w:pos="2036" w:val="left"/>
        </w:tabs>
        <w:numPr>
          <w:ilvl w:val="1"/>
          <w:numId w:val="4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as soon as practicable (and in any event within forty-five (45) days) after the end of each calendar quarter, unaudited interim and year-to-date financial statements as of the end of such calendar 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Company’s Chief Executive Officer or Chief Financial Officer to the effect that they have been prepared in accordance with GAAP, except (i) for the absence of footnotes, and</w:t>
      </w:r>
    </w:p>
    <w:p>
      <w:pPr>
        <w:spacing w:after="0" w:line="2" w:lineRule="exact"/>
        <w:rPr>
          <w:rFonts w:ascii="Times New Roman" w:cs="Times New Roman" w:eastAsia="Times New Roman" w:hAnsi="Times New Roman"/>
          <w:sz w:val="21"/>
          <w:szCs w:val="21"/>
          <w:u w:val="single" w:color="auto"/>
          <w:color w:val="auto"/>
        </w:rPr>
      </w:pP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they are subject to normal year end adjustments;</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soon as practicable (and in any event within ninety (90) days) after the end of each fiscal year, audited financial statements as of the end of such year (prepared on a consolidated basis, if applicable), including balance sheet and related statements of income and cash flows, and setting forth in comparative form the corresponding figures for the preceding fiscal year, certified without qualification (other than any going concern qualification) by a firm of independent certified public accountants selected by Company and reasonably acceptable to Agent (it being understood that Ernst &amp; Young LLP is reasonably acceptable to Agent), accompanied by any final management report from such accountants;</w:t>
      </w:r>
    </w:p>
    <w:p>
      <w:pPr>
        <w:spacing w:after="0" w:line="181"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as soon as practicable (and in any event within thirty (30) days) after the end of each month, a Compliance Certificate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soon as practicable (and in any event within seven (7) days) after the end of each month, a report showing agings of accounts receivable and accounts payable;</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promptly after the sending or filing thereof, as the case may be, copies of any proxy statements, financial statements or reports that Borrower has made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at any time after the achievement of the Approval Milestone and promptly upon request of Agent or Lender, the most recently available materials that the Borrower provides to its directors detailing key metrics relating to Borrower's commercial performance;</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financial and business projections promptly following their approval by Company’s Board of Directors, and in any event, within 90 days after the end of Company’s fiscal year, as well as budgets, operating plans and other financial information reasonably requested by Agent;</w:t>
      </w:r>
    </w:p>
    <w:p>
      <w:pPr>
        <w:spacing w:after="0" w:line="173"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1"/>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insurance renewal statements, annually or otherwise promptly upon renewal of insurance policies required to be maintained in accordance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ind w:firstLine="1505"/>
        <w:spacing w:after="0" w:line="239" w:lineRule="auto"/>
        <w:tabs>
          <w:tab w:leader="none" w:pos="2036"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promptly (and in any event within two (2) two Business Days), notice if Borrower or any Subsidiary has knowledge that Borrower, or any Subsidiary or Affiliate of Borrower, is listed on the OFAC Lists or (a) is convicted on, (b) pleads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(c) is indicted on, or (d) is arraigned and held over on charges involving money laundering or predicate crimes to money laundering.</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Borrower shall not make any change in its (a) accounting policies or reporting practices (other than changes required by GAAP), or (b) fiscal years or fiscal quarters. The fiscal year of Borrower shall end on December 31.</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executed Compliance Certificate, all Financial Statements required to be delivered hereunder shall be sent per instruction (i) specified on </w:t>
      </w:r>
      <w:r>
        <w:rPr>
          <w:rFonts w:ascii="Times New Roman" w:cs="Times New Roman" w:eastAsia="Times New Roman" w:hAnsi="Times New Roman"/>
          <w:sz w:val="22"/>
          <w:szCs w:val="22"/>
          <w:u w:val="single" w:color="auto"/>
          <w:color w:val="auto"/>
        </w:rPr>
        <w:t>Addendum 2</w:t>
      </w:r>
      <w:r>
        <w:rPr>
          <w:rFonts w:ascii="Times New Roman" w:cs="Times New Roman" w:eastAsia="Times New Roman" w:hAnsi="Times New Roman"/>
          <w:sz w:val="22"/>
          <w:szCs w:val="22"/>
          <w:color w:val="auto"/>
        </w:rPr>
        <w:t xml:space="preserve"> or (ii) otherwise provided by Agent to Borrower via written notice from time to time.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documents required to be delivered under </w:t>
      </w:r>
      <w:r>
        <w:rPr>
          <w:rFonts w:ascii="Times New Roman" w:cs="Times New Roman" w:eastAsia="Times New Roman" w:hAnsi="Times New Roman"/>
          <w:sz w:val="22"/>
          <w:szCs w:val="22"/>
          <w:u w:val="single" w:color="auto"/>
          <w:color w:val="auto"/>
        </w:rPr>
        <w:t>Sections 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on which Borrower makes such documents publicly available.</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7.2Management Rights</w:t>
      </w:r>
      <w:r>
        <w:rPr>
          <w:rFonts w:ascii="Times New Roman" w:cs="Times New Roman" w:eastAsia="Times New Roman" w:hAnsi="Times New Roman"/>
          <w:sz w:val="22"/>
          <w:szCs w:val="22"/>
          <w:color w:val="auto"/>
        </w:rPr>
        <w:t xml:space="preserve">.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such time.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7.3Further Assurances</w:t>
      </w:r>
      <w:r>
        <w:rPr>
          <w:rFonts w:ascii="Times New Roman" w:cs="Times New Roman" w:eastAsia="Times New Roman" w:hAnsi="Times New Roman"/>
          <w:sz w:val="21"/>
          <w:szCs w:val="21"/>
          <w:color w:val="auto"/>
        </w:rPr>
        <w:t>.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22"/>
          <w:szCs w:val="22"/>
          <w:color w:val="auto"/>
        </w:rPr>
        <w:t>attorney-in-fact for Borrower. Borrower shall protect and defend Borrower’s title to the Collateral and Agent’s Lien thereon against all Persons claiming any interest adverse to Borrower or Agent other than Permitted Liens.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7.4Indebtedness.</w:t>
      </w:r>
      <w:r>
        <w:rPr>
          <w:rFonts w:ascii="Times New Roman" w:cs="Times New Roman" w:eastAsia="Times New Roman" w:hAnsi="Times New Roman"/>
          <w:sz w:val="22"/>
          <w:szCs w:val="22"/>
          <w:color w:val="auto"/>
        </w:rPr>
        <w:t xml:space="preserve">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or Indebtedness in respect of capital leases permitted hereunder pursuant to its then applicable payment schedule,</w:t>
      </w:r>
    </w:p>
    <w:p>
      <w:pPr>
        <w:jc w:val="both"/>
        <w:ind w:firstLine="8"/>
        <w:spacing w:after="0" w:line="235" w:lineRule="auto"/>
        <w:tabs>
          <w:tab w:leader="none" w:pos="3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78" w:lineRule="exact"/>
        <w:rPr>
          <w:sz w:val="20"/>
          <w:szCs w:val="20"/>
          <w:color w:val="auto"/>
        </w:rPr>
      </w:pPr>
    </w:p>
    <w:p>
      <w:pPr>
        <w:jc w:val="both"/>
        <w:ind w:firstLine="2153"/>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provided that principal payments in cash (other than cash in lieu of fractional shares) shall only be allowed if the Redemption Conditions are satisfied in respect of such payment and at all times after such payment.</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7.5Collateral</w:t>
      </w:r>
      <w:r>
        <w:rPr>
          <w:rFonts w:ascii="Times New Roman" w:cs="Times New Roman" w:eastAsia="Times New Roman" w:hAnsi="Times New Roman"/>
          <w:sz w:val="22"/>
          <w:szCs w:val="22"/>
          <w:color w:val="auto"/>
        </w:rPr>
        <w:t xml:space="preserve">. Borrower shall at all times keep the Collateral and the Company IP and all other property and assets used in Borrower’s business or in which Borrower now or hereafter holds any interest free and clear from any Liens whatsoever (other than Permitted Liens), and shall give Agent prompt written notice of (a) any legal process affecting the Collateral, the Company IP or such other property and assets of Borrower, in each case, with a value in an aggregate amount greater than $1,000,000 at any time, or (b) any Liens thereon (other than Permitted Liens), provided however, that the Collateral and such other property and assets may be subject to Permitted Liens except that there shall be no Liens whatsoever (other than Permitted Liens that (x) do not arise by agreement, such as tax or statutory Liens, or (y) are described in </w:t>
      </w:r>
      <w:r>
        <w:rPr>
          <w:rFonts w:ascii="Times New Roman" w:cs="Times New Roman" w:eastAsia="Times New Roman" w:hAnsi="Times New Roman"/>
          <w:sz w:val="22"/>
          <w:szCs w:val="22"/>
          <w:u w:val="single" w:color="auto"/>
          <w:color w:val="auto"/>
        </w:rPr>
        <w:t>clause (xvii)</w:t>
      </w:r>
      <w:r>
        <w:rPr>
          <w:rFonts w:ascii="Times New Roman" w:cs="Times New Roman" w:eastAsia="Times New Roman" w:hAnsi="Times New Roman"/>
          <w:sz w:val="22"/>
          <w:szCs w:val="22"/>
          <w:color w:val="auto"/>
        </w:rPr>
        <w:t xml:space="preserve"> of the definition thereof) on Company IP. Borrower shall not enter into or suffer to exist or become effective any agreement that prohibits or limits the ability of any Borrower to create, incur, assume or suffer to exist any Lien upon any of its property (including Company IP),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(other than Permitted Liens),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Borrower shall cause its Subsidiaries at all times to keep such Subsidiary’s property and assets free and clear from any legal process or Liens whatsoever (except for Permitted Liens, provided however, that there shall be no Liens whatsoever (other than Permitted Liens that (x) do not arise by agreement, such as tax or statutory Liens, or (y) are described in </w:t>
      </w:r>
      <w:r>
        <w:rPr>
          <w:rFonts w:ascii="Times New Roman" w:cs="Times New Roman" w:eastAsia="Times New Roman" w:hAnsi="Times New Roman"/>
          <w:sz w:val="22"/>
          <w:szCs w:val="22"/>
          <w:u w:val="single" w:color="auto"/>
          <w:color w:val="auto"/>
        </w:rPr>
        <w:t>clause (xvii)</w:t>
      </w:r>
      <w:r>
        <w:rPr>
          <w:rFonts w:ascii="Times New Roman" w:cs="Times New Roman" w:eastAsia="Times New Roman" w:hAnsi="Times New Roman"/>
          <w:sz w:val="22"/>
          <w:szCs w:val="22"/>
          <w:color w:val="auto"/>
        </w:rPr>
        <w:t xml:space="preserve"> of the definition thereof) on Company IP), and shall give Agent prompt written notice of any legal process affecting such Subsidiary’s assets with a value in an aggregate amount greater than $1,000,000 at any time.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7.6Investments</w:t>
      </w:r>
      <w:r>
        <w:rPr>
          <w:rFonts w:ascii="Times New Roman" w:cs="Times New Roman" w:eastAsia="Times New Roman" w:hAnsi="Times New Roman"/>
          <w:sz w:val="22"/>
          <w:szCs w:val="22"/>
          <w:color w:val="auto"/>
        </w:rPr>
        <w:t>. Borrower shall not directly or indirectly acquire or own, or make any Investment in or to any Person, or permit any of its Subsidiaries to do so, other than Permitted Investments.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and for the avoidance of doubt,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spacing w:after="0" w:line="17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u w:val="single" w:color="auto"/>
          <w:color w:val="auto"/>
        </w:rPr>
        <w:t>7.7Distributions</w:t>
      </w:r>
      <w:r>
        <w:rPr>
          <w:rFonts w:ascii="Times New Roman" w:cs="Times New Roman" w:eastAsia="Times New Roman" w:hAnsi="Times New Roman"/>
          <w:sz w:val="21"/>
          <w:szCs w:val="21"/>
          <w:color w:val="auto"/>
        </w:rPr>
        <w:t>.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fair market value for such stock or Equity Interest, or (b) declare or pay any cash dividend or make any other cash distribution on any class of stock or other Equity Interest, except that a Subsidiary may pay dividends or make other distributions to Borrower or any Subsidiary of Borrower, (c) lend money to any employees, officers or directors or guarantee the payment of any such loans granted by a third party in excess of $200,000 in the aggregate at any time outstanding, except to the extent comprising a Permitted Investment, or (d) waive, release or forgive any Indebtedness owed by any employees, officers or directors in excess of $200,000 in the aggregate.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and for the avoidance of doubt,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shall not prohibit the conversion by holders of (including any payment upon conversion, whether in cash, Common Stock or a combination thereof), or required payment of any principal or premium on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7.8Transfers</w:t>
      </w:r>
      <w:r>
        <w:rPr>
          <w:rFonts w:ascii="Times New Roman" w:cs="Times New Roman" w:eastAsia="Times New Roman" w:hAnsi="Times New Roman"/>
          <w:sz w:val="22"/>
          <w:szCs w:val="22"/>
          <w:color w:val="auto"/>
        </w:rPr>
        <w:t xml:space="preserve">. Except for Permitted Transfers, Borrower shall not, and shall not allow any Subsidiary to, voluntarily or involuntarily transfer, sell, lease, license, lend or in any other manner convey any equitable, beneficial or legal interest in any material portion of its assets (including, without limitation, pursuant to a Division);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licenses of Company IP (to</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22"/>
          <w:szCs w:val="22"/>
          <w:color w:val="auto"/>
        </w:rPr>
        <w:t>the extent not constituting Permitted Transfers) may be made with the consent of the Required Lenders, it being understood that the Required Lenders’ response in respect of such consent shall not be unreasonably withheld or delayed.</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7.9Mergers or Acquisitions</w:t>
      </w:r>
      <w:r>
        <w:rPr>
          <w:rFonts w:ascii="Times New Roman" w:cs="Times New Roman" w:eastAsia="Times New Roman" w:hAnsi="Times New Roman"/>
          <w:sz w:val="22"/>
          <w:szCs w:val="22"/>
          <w:color w:val="auto"/>
        </w:rPr>
        <w:t>.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other than Permitted Acquisitions, acquire, or permit any of its Subsidiaries to acquire, in each case including for the avoidance of doubt through a merger, purchase, in-licensing arrangement or any similar transaction, all or substantially all of the capital stock or property of another Person.</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7.10Taxes</w:t>
      </w:r>
      <w:r>
        <w:rPr>
          <w:rFonts w:ascii="Times New Roman" w:cs="Times New Roman" w:eastAsia="Times New Roman" w:hAnsi="Times New Roman"/>
          <w:sz w:val="22"/>
          <w:szCs w:val="22"/>
          <w:color w:val="auto"/>
        </w:rPr>
        <w:t>.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7.11Corporate Changes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58" w:lineRule="auto"/>
        <w:tabs>
          <w:tab w:leader="none" w:pos="2036"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Neither Borrower nor any Subsidiary shall change its corporate name, legal form or jurisdiction of formation without twenty (20) days’ prior written notice to Agent.</w:t>
      </w:r>
    </w:p>
    <w:p>
      <w:pPr>
        <w:spacing w:after="0" w:line="158"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Neither Borrower nor any Subsidiary shall suffer a Change in Control.</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34" w:lineRule="auto"/>
        <w:tabs>
          <w:tab w:leader="none" w:pos="2036"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(x) sales of Inventory, or dispositions of obsolete or worn out property, in each case in the ordinary course of business, (y) relocations of Equipment having an aggregate value of up to $150,000 in any fiscal year or relocations of Equipment solely for purposes of repair, and (z) relocations of Collateral from a location identified in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of the Perfection Certificate (as in effect on the date hereof) to another location identified in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of the Perfection Certificate (as in effect on the date hereof)) unless (1) it has provided prompt written notice to Agent, (2) such relocation is within the continental United States of America, and (3) if such relocation is to a third party bailee, it has delivered a bailee agreement (to the extent customary under applicable law) in form and substance reasonably acceptable to Agent.</w:t>
      </w:r>
    </w:p>
    <w:p>
      <w:pPr>
        <w:spacing w:after="0" w:line="179"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or development thereof.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1505"/>
        <w:spacing w:after="0" w:line="244" w:lineRule="auto"/>
        <w:tabs>
          <w:tab w:leader="none" w:pos="2036"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Without the prior written consent of Agent, the Borrower will not make, or agree to make, any modification, amendment or waiver of any of the terms or provisions of Borrower’s Organizational Documents that is adverse to Agent or any of the Lenders.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7.12Deposit Accounts.</w:t>
      </w:r>
      <w:r>
        <w:rPr>
          <w:rFonts w:ascii="Times New Roman" w:cs="Times New Roman" w:eastAsia="Times New Roman" w:hAnsi="Times New Roman"/>
          <w:sz w:val="22"/>
          <w:szCs w:val="22"/>
          <w:color w:val="auto"/>
        </w:rPr>
        <w:t xml:space="preserve"> Other than Excluded Accounts, neither Borrower nor any Subsidiary (other than Excluded Subsidiaries and the MSC Subsidiary) shall maintain any Deposit Accounts, or accounts holding Investment Property, except with respect to which Agent has an Account Control Agreement within five (5) Business Days of the opening of such Deposit Account or other account; provided that during the five (5) Business Day period, the amounts in all such newly opened account shall not exceed $500,000, at any one time, collectively. No proceeds of any Advance shall be transferred to any Deposit Account that is not subject to an Account Control Agreement. Borrower shall not permit any Excluded Subsidiary to hold cash or cash equivalents in an aggregate amount greater than $2,000,000 for any single Excluded Subsidiary and $3,000,000 for all Excluded Subsidiaries.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7.13New Subsidiaries</w:t>
      </w:r>
      <w:r>
        <w:rPr>
          <w:rFonts w:ascii="Times New Roman" w:cs="Times New Roman" w:eastAsia="Times New Roman" w:hAnsi="Times New Roman"/>
          <w:sz w:val="21"/>
          <w:szCs w:val="21"/>
          <w:color w:val="auto"/>
        </w:rPr>
        <w:t>. Borrower shall notify Agent of each Subsidiary formed or acquired subsequent to the Closing Date (including any new Subsidiary formed by Division) and, within 30 days of formation or acquisition (or such longer period of time as agreed to by Agent in writing in its sole discretion), shall cause any such Subsidiary (other than an Excluded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 In the event one or more Subsidiaries that were previously Excluded Subsidiaries no longer qualify as an Excluded Subsidiary, such Subsidiaries shall be subject to the requirements of the immediately preceding sentence.</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7.14MSC Investments</w:t>
      </w:r>
      <w:r>
        <w:rPr>
          <w:rFonts w:ascii="Times New Roman" w:cs="Times New Roman" w:eastAsia="Times New Roman" w:hAnsi="Times New Roman"/>
          <w:sz w:val="22"/>
          <w:szCs w:val="22"/>
          <w:color w:val="auto"/>
        </w:rPr>
        <w:t>. At any time that (a) the MSC Subsidiary has any assets or liabilities and (b) the aggregate amount of the consolidated Cash of Borrower and its Subsidiaries is equal to or less than One Hundred Fifty Million Dollars ($150,000,000), then Borrower shall satisfy the MSC Investment Conditions at any such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7.15Notification of Event of Default</w:t>
      </w:r>
      <w:r>
        <w:rPr>
          <w:rFonts w:ascii="Times New Roman" w:cs="Times New Roman" w:eastAsia="Times New Roman" w:hAnsi="Times New Roman"/>
          <w:sz w:val="22"/>
          <w:szCs w:val="22"/>
          <w:color w:val="auto"/>
        </w:rPr>
        <w:t>. Borrower shall notify Agent immediately of the occurrence of any Event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Default.</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7.16Use of Proceeds</w:t>
      </w:r>
      <w:r>
        <w:rPr>
          <w:rFonts w:ascii="Times New Roman" w:cs="Times New Roman" w:eastAsia="Times New Roman" w:hAnsi="Times New Roman"/>
          <w:sz w:val="22"/>
          <w:szCs w:val="22"/>
          <w:color w:val="auto"/>
        </w:rPr>
        <w:t>.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7.17Compliance with Laws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Borrower (i) shall maintain, and shall cause its Subsidiaries to maintain, compliance in all material respects with all applicable laws, rules or regulations (including any law, rule or regulation with respect to the making or brokering of loans or financial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6" w:lineRule="auto"/>
        <w:rPr>
          <w:sz w:val="20"/>
          <w:szCs w:val="20"/>
          <w:color w:val="auto"/>
        </w:rPr>
      </w:pPr>
      <w:r>
        <w:rPr>
          <w:rFonts w:ascii="Times New Roman" w:cs="Times New Roman" w:eastAsia="Times New Roman" w:hAnsi="Times New Roman"/>
          <w:sz w:val="22"/>
          <w:szCs w:val="22"/>
          <w:color w:val="auto"/>
        </w:rPr>
        <w:t>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spacing w:after="0" w:line="181" w:lineRule="exact"/>
        <w:rPr>
          <w:sz w:val="20"/>
          <w:szCs w:val="20"/>
          <w:color w:val="auto"/>
        </w:rPr>
      </w:pPr>
    </w:p>
    <w:p>
      <w:pPr>
        <w:jc w:val="both"/>
        <w:ind w:firstLine="1505"/>
        <w:spacing w:after="0" w:line="246" w:lineRule="auto"/>
        <w:tabs>
          <w:tab w:leader="none" w:pos="2036" w:val="left"/>
        </w:tabs>
        <w:numPr>
          <w:ilvl w:val="0"/>
          <w:numId w:val="5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Neither Borrower nor any of its Subsidiaries shall, nor shall Borrower or any of its Subsidiaries permit, to its knowledge, any Affiliate to, directly or indirectly, knowingly enter into any documents, instruments, agreements or contracts with any Person listed on the OFAC Lists. Neither Borrower nor any Subsidiary shall, nor shall Borrower or any of its Subsidiaries permit, to its knowledge,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5" w:lineRule="exact"/>
        <w:rPr>
          <w:rFonts w:ascii="Times New Roman" w:cs="Times New Roman" w:eastAsia="Times New Roman" w:hAnsi="Times New Roman"/>
          <w:sz w:val="21"/>
          <w:szCs w:val="21"/>
          <w:u w:val="single" w:color="auto"/>
          <w:color w:val="auto"/>
        </w:rPr>
      </w:pPr>
    </w:p>
    <w:p>
      <w:pPr>
        <w:jc w:val="both"/>
        <w:ind w:firstLine="1505"/>
        <w:spacing w:after="0" w:line="255" w:lineRule="auto"/>
        <w:tabs>
          <w:tab w:leader="none" w:pos="2036" w:val="left"/>
        </w:tabs>
        <w:numPr>
          <w:ilvl w:val="0"/>
          <w:numId w:val="5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Borrower has implemented and maintains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61" w:lineRule="exact"/>
        <w:rPr>
          <w:rFonts w:ascii="Times New Roman" w:cs="Times New Roman" w:eastAsia="Times New Roman" w:hAnsi="Times New Roman"/>
          <w:sz w:val="21"/>
          <w:szCs w:val="21"/>
          <w:u w:val="single" w:color="auto"/>
          <w:color w:val="auto"/>
        </w:rPr>
      </w:pPr>
    </w:p>
    <w:p>
      <w:pPr>
        <w:jc w:val="both"/>
        <w:ind w:firstLine="1505"/>
        <w:spacing w:after="0" w:line="239" w:lineRule="auto"/>
        <w:tabs>
          <w:tab w:leader="none" w:pos="2036"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7.18Company IP</w:t>
      </w:r>
      <w:r>
        <w:rPr>
          <w:rFonts w:ascii="Times New Roman" w:cs="Times New Roman" w:eastAsia="Times New Roman" w:hAnsi="Times New Roman"/>
          <w:sz w:val="21"/>
          <w:szCs w:val="21"/>
          <w:color w:val="auto"/>
        </w:rPr>
        <w:t>. Each Borrower shall (i) protect, defend and maintain the validity and enforceability of its Company IP that is material to its business; (ii) promptly advise Agent in writing of material infringements of its Company IP that is material to its business; and (iii) not allow any Company IP material to Borrower’s business to be abandoned, forfeited or dedicated to the public without Agent’s written consent, provided that Borrower is not required to advise Agent or obtain Agent’s consent (written or otherwise) to allow to abandon, forfeit or dedicate to the public Current Company IP as determined in the good faith business judgment of the Borrower. Borrower shall not permit any Excluded Subsidiary to own any Intellectual Property.</w:t>
      </w:r>
    </w:p>
    <w:p>
      <w:pPr>
        <w:spacing w:after="0" w:line="17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7.19Transactions with Affiliates</w:t>
      </w:r>
      <w:r>
        <w:rPr>
          <w:rFonts w:ascii="Times New Roman" w:cs="Times New Roman" w:eastAsia="Times New Roman" w:hAnsi="Times New Roman"/>
          <w:sz w:val="22"/>
          <w:szCs w:val="22"/>
          <w:color w:val="auto"/>
        </w:rPr>
        <w:t>. Borrower shall not and shall not permit any Subsidiary to, directly or indirectly, enter into or permit to exist any transaction of any kind with any Affiliate of Borrower or such Subsidiary (other than transactions among Borrowers permitted under this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22"/>
          <w:szCs w:val="22"/>
          <w:color w:val="auto"/>
        </w:rPr>
        <w:t>Agreement) on terms that are less favorable to Borrower or such Subsidiary, as the case may be, than those that might be obtained in an arm’s length transaction from a Person who is not an Affiliate of Borrower or such Subsidiary.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7.20Material Agreement</w:t>
      </w:r>
      <w:r>
        <w:rPr>
          <w:rFonts w:ascii="Times New Roman" w:cs="Times New Roman" w:eastAsia="Times New Roman" w:hAnsi="Times New Roman"/>
          <w:sz w:val="22"/>
          <w:szCs w:val="22"/>
          <w:color w:val="auto"/>
        </w:rPr>
        <w:t>. Borrower shall (a) not, without the consent of Agent, terminate the Material License or amend the Material License in a manner that is reasonably likely to have a material negative impact on Agent or Lenders and (b) give prompt written notice to Agent of entering into a Material Agreement or materially amending or terminating a Material Agreement. The notice described in foregoing clause (b) shall be deemed to have been delivered on the date on which Borrower makes disclosure thereof in materials filed with the SEC.</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7.21SBA</w:t>
      </w:r>
      <w:r>
        <w:rPr>
          <w:rFonts w:ascii="Times New Roman" w:cs="Times New Roman" w:eastAsia="Times New Roman" w:hAnsi="Times New Roman"/>
          <w:sz w:val="22"/>
          <w:szCs w:val="22"/>
          <w:color w:val="auto"/>
        </w:rPr>
        <w:t>. One or more affiliates of Agent have received a license from the U.S. Small Business Administration (“</w:t>
      </w:r>
      <w:r>
        <w:rPr>
          <w:rFonts w:ascii="Times New Roman" w:cs="Times New Roman" w:eastAsia="Times New Roman" w:hAnsi="Times New Roman"/>
          <w:sz w:val="22"/>
          <w:szCs w:val="22"/>
          <w:u w:val="single" w:color="auto"/>
          <w:color w:val="auto"/>
        </w:rPr>
        <w:t>SBA</w:t>
      </w:r>
      <w:r>
        <w:rPr>
          <w:rFonts w:ascii="Times New Roman" w:cs="Times New Roman" w:eastAsia="Times New Roman" w:hAnsi="Times New Roman"/>
          <w:sz w:val="22"/>
          <w:szCs w:val="22"/>
          <w:color w:val="auto"/>
        </w:rPr>
        <w:t>”) to extend loans as a small business investment company (“</w:t>
      </w:r>
      <w:r>
        <w:rPr>
          <w:rFonts w:ascii="Times New Roman" w:cs="Times New Roman" w:eastAsia="Times New Roman" w:hAnsi="Times New Roman"/>
          <w:sz w:val="22"/>
          <w:szCs w:val="22"/>
          <w:u w:val="single" w:color="auto"/>
          <w:color w:val="auto"/>
        </w:rPr>
        <w:t>SBIC</w:t>
      </w:r>
      <w:r>
        <w:rPr>
          <w:rFonts w:ascii="Times New Roman" w:cs="Times New Roman" w:eastAsia="Times New Roman" w:hAnsi="Times New Roman"/>
          <w:sz w:val="22"/>
          <w:szCs w:val="22"/>
          <w:color w:val="auto"/>
        </w:rPr>
        <w:t>”) pursuant to the Small Business Investment Act of 1958, as amended, and the associated regulations, as amended (collectively, the “</w:t>
      </w:r>
      <w:r>
        <w:rPr>
          <w:rFonts w:ascii="Times New Roman" w:cs="Times New Roman" w:eastAsia="Times New Roman" w:hAnsi="Times New Roman"/>
          <w:sz w:val="22"/>
          <w:szCs w:val="22"/>
          <w:u w:val="single" w:color="auto"/>
          <w:color w:val="auto"/>
        </w:rPr>
        <w:t>SBIC Act</w:t>
      </w:r>
      <w:r>
        <w:rPr>
          <w:rFonts w:ascii="Times New Roman" w:cs="Times New Roman" w:eastAsia="Times New Roman" w:hAnsi="Times New Roman"/>
          <w:sz w:val="22"/>
          <w:szCs w:val="22"/>
          <w:color w:val="auto"/>
        </w:rPr>
        <w:t xml:space="preserve">”). Portions of the Loan to Borrower may be made by a Lender that is a SBIC. </w:t>
      </w:r>
      <w:r>
        <w:rPr>
          <w:rFonts w:ascii="Times New Roman" w:cs="Times New Roman" w:eastAsia="Times New Roman" w:hAnsi="Times New Roman"/>
          <w:sz w:val="22"/>
          <w:szCs w:val="22"/>
          <w:u w:val="single" w:color="auto"/>
          <w:color w:val="auto"/>
        </w:rPr>
        <w:t>Addendum 3</w:t>
      </w:r>
      <w:r>
        <w:rPr>
          <w:rFonts w:ascii="Times New Roman" w:cs="Times New Roman" w:eastAsia="Times New Roman" w:hAnsi="Times New Roman"/>
          <w:sz w:val="22"/>
          <w:szCs w:val="22"/>
          <w:color w:val="auto"/>
        </w:rPr>
        <w:t xml:space="preserve"> to this Agreement outlines various responsibilities of Agent, each Lender and Borrower associated with a loan made by a SBIC, and such </w:t>
      </w:r>
      <w:r>
        <w:rPr>
          <w:rFonts w:ascii="Times New Roman" w:cs="Times New Roman" w:eastAsia="Times New Roman" w:hAnsi="Times New Roman"/>
          <w:sz w:val="22"/>
          <w:szCs w:val="22"/>
          <w:u w:val="single" w:color="auto"/>
          <w:color w:val="auto"/>
        </w:rPr>
        <w:t>Addendum 3</w:t>
      </w:r>
      <w:r>
        <w:rPr>
          <w:rFonts w:ascii="Times New Roman" w:cs="Times New Roman" w:eastAsia="Times New Roman" w:hAnsi="Times New Roman"/>
          <w:sz w:val="22"/>
          <w:szCs w:val="22"/>
          <w:color w:val="auto"/>
        </w:rPr>
        <w:t xml:space="preserve"> is hereby incorporated in this Agreement. Borrower shall notify Agent of any failure to comply with its obligations under </w:t>
      </w:r>
      <w:r>
        <w:rPr>
          <w:rFonts w:ascii="Times New Roman" w:cs="Times New Roman" w:eastAsia="Times New Roman" w:hAnsi="Times New Roman"/>
          <w:sz w:val="22"/>
          <w:szCs w:val="22"/>
          <w:u w:val="single" w:color="auto"/>
          <w:color w:val="auto"/>
        </w:rPr>
        <w:t>Addendum 3</w:t>
      </w:r>
      <w:r>
        <w:rPr>
          <w:rFonts w:ascii="Times New Roman" w:cs="Times New Roman" w:eastAsia="Times New Roman" w:hAnsi="Times New Roman"/>
          <w:sz w:val="22"/>
          <w:szCs w:val="22"/>
          <w:color w:val="auto"/>
        </w:rPr>
        <w:t xml:space="preserve"> within five (5) Business Days of acquiring knowledge thereof.</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7.22Financial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Minimum Cash.</w:t>
      </w:r>
    </w:p>
    <w:p>
      <w:pPr>
        <w:spacing w:after="0" w:line="206" w:lineRule="exact"/>
        <w:rPr>
          <w:rFonts w:ascii="Times New Roman" w:cs="Times New Roman" w:eastAsia="Times New Roman" w:hAnsi="Times New Roman"/>
          <w:sz w:val="22"/>
          <w:szCs w:val="22"/>
          <w:u w:val="single" w:color="auto"/>
          <w:color w:val="auto"/>
        </w:rPr>
      </w:pPr>
    </w:p>
    <w:p>
      <w:pPr>
        <w:jc w:val="both"/>
        <w:ind w:left="1500" w:firstLine="1503"/>
        <w:spacing w:after="0" w:line="235" w:lineRule="auto"/>
        <w:tabs>
          <w:tab w:leader="none" w:pos="356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on the Initial Test Date, Borrower shall at all times maintain Qualified Cash in an amount greater than or equal to (x) the aggregate outstanding Secured Obligations plus the Qualified Cash A/P Amount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(i) at all times prior to the achievement of the EP Clinical Milestone or the Approval Milestone, 40%, (ii) upon the achievement of the EP Clinical Milestone, 30% and (iii) upon the achievement of the Approval Milestone, 25%; provided, further, that the outstanding Term Loan Advances shall include, for the avoidance of doubt, any principal that has been added to the principal balance of such Term Loan Advances pursuant to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500" w:firstLine="1503"/>
        <w:spacing w:after="0" w:line="244" w:lineRule="auto"/>
        <w:tabs>
          <w:tab w:leader="none" w:pos="356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makes a redemption or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73" w:lineRule="exact"/>
        <w:rPr>
          <w:rFonts w:ascii="Times New Roman" w:cs="Times New Roman" w:eastAsia="Times New Roman" w:hAnsi="Times New Roman"/>
          <w:sz w:val="22"/>
          <w:szCs w:val="22"/>
          <w:color w:val="auto"/>
        </w:rPr>
      </w:pPr>
    </w:p>
    <w:p>
      <w:pPr>
        <w:jc w:val="both"/>
        <w:ind w:left="1500" w:firstLine="1503"/>
        <w:spacing w:after="0" w:line="238" w:lineRule="auto"/>
        <w:tabs>
          <w:tab w:leader="none" w:pos="356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Compliance with the minimum cash covenant set forth in </w:t>
      </w:r>
      <w:r>
        <w:rPr>
          <w:rFonts w:ascii="Times New Roman" w:cs="Times New Roman" w:eastAsia="Times New Roman" w:hAnsi="Times New Roman"/>
          <w:sz w:val="22"/>
          <w:szCs w:val="22"/>
          <w:u w:val="single" w:color="auto"/>
          <w:color w:val="auto"/>
        </w:rPr>
        <w:t>Section 7.22(a)(i)</w:t>
      </w:r>
      <w:r>
        <w:rPr>
          <w:rFonts w:ascii="Times New Roman" w:cs="Times New Roman" w:eastAsia="Times New Roman" w:hAnsi="Times New Roman"/>
          <w:sz w:val="22"/>
          <w:szCs w:val="22"/>
          <w:color w:val="auto"/>
        </w:rPr>
        <w:t xml:space="preserve"> shall be waived during such times that Borrower’s Market Capitalization is greater than or equal to One Billion Dollars ($1,000,000,000); it being understood that at any time following the Initial Test Date when Borrower’s Market Capitalization is less than One Billion Dollars ($1,000,000,000), the requirements of </w:t>
      </w:r>
      <w:r>
        <w:rPr>
          <w:rFonts w:ascii="Times New Roman" w:cs="Times New Roman" w:eastAsia="Times New Roman" w:hAnsi="Times New Roman"/>
          <w:sz w:val="22"/>
          <w:szCs w:val="22"/>
          <w:u w:val="single" w:color="auto"/>
          <w:color w:val="auto"/>
        </w:rPr>
        <w:t>Section 7.22(a)(i)</w:t>
      </w:r>
      <w:r>
        <w:rPr>
          <w:rFonts w:ascii="Times New Roman" w:cs="Times New Roman" w:eastAsia="Times New Roman" w:hAnsi="Times New Roman"/>
          <w:sz w:val="22"/>
          <w:szCs w:val="22"/>
          <w:color w:val="auto"/>
        </w:rPr>
        <w:t xml:space="preserve"> shall apply without reinstatement thereof requiring any action or notice by or to any Person.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22"/>
          <w:szCs w:val="22"/>
          <w:u w:val="single" w:color="auto"/>
          <w:color w:val="auto"/>
        </w:rPr>
        <w:t>7.23</w:t>
      </w: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7.24Regulatory and Product Notices</w:t>
      </w:r>
      <w:r>
        <w:rPr>
          <w:rFonts w:ascii="Times New Roman" w:cs="Times New Roman" w:eastAsia="Times New Roman" w:hAnsi="Times New Roman"/>
          <w:sz w:val="22"/>
          <w:szCs w:val="22"/>
          <w:color w:val="auto"/>
        </w:rPr>
        <w:t>. Borrower shall within three (3) Business Days after the receipt or occurrence thereof notify Agent of:</w:t>
      </w:r>
    </w:p>
    <w:p>
      <w:pPr>
        <w:spacing w:after="0" w:line="158" w:lineRule="exact"/>
        <w:rPr>
          <w:sz w:val="20"/>
          <w:szCs w:val="20"/>
          <w:color w:val="auto"/>
        </w:rPr>
      </w:pPr>
    </w:p>
    <w:p>
      <w:pPr>
        <w:ind w:firstLine="1505"/>
        <w:spacing w:after="0" w:line="258"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written notice from a Governmental Authority received by Borrower or its Subsidiaries alleging potential or actual violations of any Public Health Law by Borrower or its Subsidiaries;</w:t>
      </w:r>
    </w:p>
    <w:p>
      <w:pPr>
        <w:spacing w:after="0" w:line="158"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written notice from a Governmental Authority that the FDA (or international equivalent) is limiting, suspending or revoking any Registration (including, but not limited to, by the issuance of a clinical hold);</w:t>
      </w:r>
    </w:p>
    <w:p>
      <w:pPr>
        <w:spacing w:after="0" w:line="158"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0"/>
          <w:numId w:val="5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any written notice from a Governmental Authority that Borrower or its Subsidiaries has become subject to</w:t>
      </w:r>
    </w:p>
    <w:p>
      <w:pPr>
        <w:spacing w:after="0" w:line="25" w:lineRule="exact"/>
        <w:rPr>
          <w:rFonts w:ascii="Times New Roman" w:cs="Times New Roman" w:eastAsia="Times New Roman" w:hAnsi="Times New Roman"/>
          <w:sz w:val="21"/>
          <w:szCs w:val="21"/>
          <w:u w:val="single" w:color="auto"/>
          <w:color w:val="auto"/>
        </w:rPr>
      </w:pPr>
    </w:p>
    <w:p>
      <w:pPr>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any Regulatory Action;</w:t>
      </w:r>
    </w:p>
    <w:p>
      <w:pPr>
        <w:spacing w:after="0" w:line="182" w:lineRule="exact"/>
        <w:rPr>
          <w:rFonts w:ascii="Times New Roman" w:cs="Times New Roman" w:eastAsia="Times New Roman" w:hAnsi="Times New Roman"/>
          <w:sz w:val="21"/>
          <w:szCs w:val="21"/>
          <w:u w:val="single" w:color="auto"/>
          <w:color w:val="auto"/>
        </w:rPr>
      </w:pPr>
    </w:p>
    <w:p>
      <w:pPr>
        <w:ind w:firstLine="1505"/>
        <w:spacing w:after="0" w:line="258"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exclusion or debarment from any governmental healthcare program or debarment or disqualification by FDA (or international equivalent) of Borrower or its Subsidiaries or its or their authorized officers;</w:t>
      </w:r>
    </w:p>
    <w:p>
      <w:pPr>
        <w:spacing w:after="0" w:line="158"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notice from a Governmental Authority that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spacing w:after="0" w:line="173"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written notice from a Governmental Authority that any product of Borrower or its Subsidiaries has been seized, withdrawn, recalled, detained, or subject to a suspension of manufacturing, or the commencement of any proceedings in the United States of America or any other jurisdiction seeking the seizure, withdrawal, recall, import detention, or suspension of manufacturing, of any Product are pending or threatened in writing against Borrower or its Subsidiaries; or</w:t>
      </w:r>
    </w:p>
    <w:p>
      <w:pPr>
        <w:spacing w:after="0" w:line="180" w:lineRule="exact"/>
        <w:rPr>
          <w:rFonts w:ascii="Times New Roman" w:cs="Times New Roman" w:eastAsia="Times New Roman" w:hAnsi="Times New Roman"/>
          <w:sz w:val="22"/>
          <w:szCs w:val="22"/>
          <w:u w:val="single" w:color="auto"/>
          <w:color w:val="auto"/>
        </w:rPr>
      </w:pPr>
    </w:p>
    <w:p>
      <w:pPr>
        <w:ind w:right="20" w:firstLine="1505"/>
        <w:spacing w:after="0" w:line="258" w:lineRule="auto"/>
        <w:tabs>
          <w:tab w:leader="none" w:pos="2036"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narrowing or limiting the scope of marketing authorization or the labeling of the Products of Borrower and its Subsidiaries under any such Registration.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 in each case of (a) through (g) above, where such action would not reasonably be expected to have, either individually or in the aggregate, Material Regulatory Liabilities.</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u w:val="single" w:color="auto"/>
          <w:color w:val="auto"/>
        </w:rPr>
        <w:t>SECTION 8[RESERVED]</w:t>
      </w:r>
    </w:p>
    <w:p>
      <w:pPr>
        <w:spacing w:after="0" w:line="20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u w:val="single" w:color="auto"/>
          <w:color w:val="auto"/>
        </w:rPr>
        <w:t>SECTION 9EVENTS OF DEFAULT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occurrence of any one or more of the following events shall be an Event of Default: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9.1Payments</w:t>
      </w:r>
      <w:r>
        <w:rPr>
          <w:rFonts w:ascii="Times New Roman" w:cs="Times New Roman" w:eastAsia="Times New Roman" w:hAnsi="Times New Roman"/>
          <w:sz w:val="22"/>
          <w:szCs w:val="22"/>
          <w:color w:val="auto"/>
        </w:rPr>
        <w:t>.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makes the payment within three (3) Business Days following Borrower’s knowledge of such failure to pay; or</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9.2Covenants</w:t>
      </w:r>
      <w:r>
        <w:rPr>
          <w:rFonts w:ascii="Times New Roman" w:cs="Times New Roman" w:eastAsia="Times New Roman" w:hAnsi="Times New Roman"/>
          <w:sz w:val="22"/>
          <w:szCs w:val="22"/>
          <w:color w:val="auto"/>
        </w:rPr>
        <w:t xml:space="preserve">.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w:t>
      </w:r>
      <w:r>
        <w:rPr>
          <w:rFonts w:ascii="Times New Roman" w:cs="Times New Roman" w:eastAsia="Times New Roman" w:hAnsi="Times New Roman"/>
          <w:sz w:val="22"/>
          <w:szCs w:val="22"/>
          <w:u w:val="single" w:color="auto"/>
          <w:color w:val="auto"/>
        </w:rPr>
        <w:t>Sections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7.15, 7.16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7.24</w:t>
      </w:r>
      <w:r>
        <w:rPr>
          <w:rFonts w:ascii="Times New Roman" w:cs="Times New Roman" w:eastAsia="Times New Roman" w:hAnsi="Times New Roman"/>
          <w:sz w:val="22"/>
          <w:szCs w:val="22"/>
          <w:color w:val="auto"/>
        </w:rPr>
        <w:t xml:space="preserve">), any other Loan Document, or any other agreement among Borrower, Agent and the Lenders, such default continues for more than twenty (20) days after the earlier of the date on which (i) Agent or the Lenders has given notice of such default to Borrower or (ii) Borrower has actual knowledge of such default or (b) with respect to a default under any of </w:t>
      </w:r>
      <w:r>
        <w:rPr>
          <w:rFonts w:ascii="Times New Roman" w:cs="Times New Roman" w:eastAsia="Times New Roman" w:hAnsi="Times New Roman"/>
          <w:sz w:val="22"/>
          <w:szCs w:val="22"/>
          <w:u w:val="single" w:color="auto"/>
          <w:color w:val="auto"/>
        </w:rPr>
        <w:t>Sections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7.24</w:t>
      </w:r>
      <w:r>
        <w:rPr>
          <w:rFonts w:ascii="Times New Roman" w:cs="Times New Roman" w:eastAsia="Times New Roman" w:hAnsi="Times New Roman"/>
          <w:sz w:val="22"/>
          <w:szCs w:val="22"/>
          <w:color w:val="auto"/>
        </w:rPr>
        <w:t xml:space="preserve"> the occurrence of such default; or</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9.3Material Adverse Effect</w:t>
      </w:r>
      <w:r>
        <w:rPr>
          <w:rFonts w:ascii="Times New Roman" w:cs="Times New Roman" w:eastAsia="Times New Roman" w:hAnsi="Times New Roman"/>
          <w:sz w:val="22"/>
          <w:szCs w:val="22"/>
          <w:color w:val="auto"/>
        </w:rPr>
        <w:t xml:space="preserve">. A circumstance has occurred that could reasonably be expected to have a Material Adverse Effect;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or</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9.4Representations</w:t>
      </w:r>
      <w:r>
        <w:rPr>
          <w:rFonts w:ascii="Times New Roman" w:cs="Times New Roman" w:eastAsia="Times New Roman" w:hAnsi="Times New Roman"/>
          <w:sz w:val="22"/>
          <w:szCs w:val="22"/>
          <w:color w:val="auto"/>
        </w:rPr>
        <w:t>. Any representation or warranty made by Borrower in any Loan Document shall have been false or misleading in any material respect when made or when deemed made; or</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9.5Insolvency</w:t>
      </w:r>
      <w:r>
        <w:rPr>
          <w:rFonts w:ascii="Times New Roman" w:cs="Times New Roman" w:eastAsia="Times New Roman" w:hAnsi="Times New Roman"/>
          <w:sz w:val="21"/>
          <w:szCs w:val="21"/>
          <w:color w:val="auto"/>
        </w:rPr>
        <w:t>. Borrower (a) (i) shall be unable to pay its debts (including trade debts) as they become due, or be unable to pay or perform under the Loan Documents, (ii) shall fail to maintain assets with a fair saleable value that exceeds the fair value of such Borrower’s liabilities, (iii) shall maintain an unreasonably small amount of capital with which to conduct its business, or</w:t>
      </w:r>
    </w:p>
    <w:p>
      <w:pPr>
        <w:spacing w:after="0" w:line="1" w:lineRule="exact"/>
        <w:rPr>
          <w:sz w:val="20"/>
          <w:szCs w:val="20"/>
          <w:color w:val="auto"/>
        </w:rPr>
      </w:pPr>
    </w:p>
    <w:p>
      <w:pPr>
        <w:jc w:val="both"/>
        <w:ind w:firstLine="8"/>
        <w:spacing w:after="0" w:line="241" w:lineRule="auto"/>
        <w:tabs>
          <w:tab w:leader="none" w:pos="37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otherwise become insolvent; or (b) (i) shall make an assignment for the benefit of creditors; or (ii) shall file a voluntary petition in bankruptcy, or (iii) shall file any petition, answer, or document seeking for itself any reorganization, arrangement, composition, readjustment, liquidation, dissolution or similar relief under any present or future statute, law or regulation pertinent to such circumstances; or (iv) shall seek or consent to or acquiesce in the appointment of any trustee, receiver, or liquidator of Borrower or of all or any substantial part (i.e., 33-1/3% or more) of the assets or property of Borrower; or (v) shall cease operations of its business as its business has normally been conducted, or terminate substantially all of its employees; or (vi) Borrower or its directors or majority shareholders shall take any action initiating any of the foregoing actions described in clauses</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27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 or (c) either (i) forty 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jc w:val="both"/>
        <w:spacing w:after="0" w:line="235" w:lineRule="auto"/>
        <w:rPr>
          <w:sz w:val="20"/>
          <w:szCs w:val="20"/>
          <w:color w:val="auto"/>
        </w:rPr>
      </w:pPr>
      <w:r>
        <w:rPr>
          <w:rFonts w:ascii="Times New Roman" w:cs="Times New Roman" w:eastAsia="Times New Roman" w:hAnsi="Times New Roman"/>
          <w:sz w:val="22"/>
          <w:szCs w:val="22"/>
          <w:color w:val="auto"/>
        </w:rPr>
        <w:t>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 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9.6Attachments; Judgments</w:t>
      </w:r>
      <w:r>
        <w:rPr>
          <w:rFonts w:ascii="Times New Roman" w:cs="Times New Roman" w:eastAsia="Times New Roman" w:hAnsi="Times New Roman"/>
          <w:sz w:val="22"/>
          <w:szCs w:val="22"/>
          <w:color w:val="auto"/>
        </w:rPr>
        <w:t>.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$1,000,000, or Borrower is enjoined or in any way prevented by court order from conducting any part of its business; or</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9.7Other Obligations</w:t>
      </w:r>
      <w:r>
        <w:rPr>
          <w:rFonts w:ascii="Times New Roman" w:cs="Times New Roman" w:eastAsia="Times New Roman" w:hAnsi="Times New Roman"/>
          <w:sz w:val="22"/>
          <w:szCs w:val="22"/>
          <w:color w:val="auto"/>
        </w:rPr>
        <w:t>. The occurrence of any default under any agreement or obligation of Borrower involving any Indebtedness in excess of $1,000,000, the effect of which default is to cause, or to permit the holder or beneficiary of such Indebtedness (or a trustee or agent on behalf of such holder or beneficiary) to cause, with the giving of notice if required, such Indebtedness to become due prior to its stated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10REMEDIES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10.1General</w:t>
      </w:r>
      <w:r>
        <w:rPr>
          <w:rFonts w:ascii="Times New Roman" w:cs="Times New Roman" w:eastAsia="Times New Roman" w:hAnsi="Times New Roman"/>
          <w:sz w:val="21"/>
          <w:szCs w:val="21"/>
          <w:color w:val="auto"/>
        </w:rPr>
        <w:t>. Upon the occurrence of any one or more Events of Default that is continuing, Agent may, and at the direction of the Required Lenders shall, accelerate and demand payment of all or any part of the Secured Obligations together with the applicable Prepayment Charge and declare them to be immediately due and payable (provided, that upon the occurrence of an Event of Default of the type described in Section 9.5 that is continuing,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that is continuing,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34" w:lineRule="auto"/>
        <w:rPr>
          <w:sz w:val="20"/>
          <w:szCs w:val="20"/>
          <w:color w:val="auto"/>
        </w:rPr>
      </w:pPr>
      <w:r>
        <w:rPr>
          <w:rFonts w:ascii="Times New Roman" w:cs="Times New Roman" w:eastAsia="Times New Roman" w:hAnsi="Times New Roman"/>
          <w:sz w:val="22"/>
          <w:szCs w:val="22"/>
          <w:color w:val="auto"/>
        </w:rPr>
        <w:t>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Following the occurrence of an Event of Default that is continuing,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10.2Collection; Foreclosure</w:t>
      </w:r>
      <w:r>
        <w:rPr>
          <w:rFonts w:ascii="Times New Roman" w:cs="Times New Roman" w:eastAsia="Times New Roman" w:hAnsi="Times New Roman"/>
          <w:sz w:val="22"/>
          <w:szCs w:val="22"/>
          <w:color w:val="auto"/>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78" w:lineRule="exact"/>
        <w:rPr>
          <w:sz w:val="20"/>
          <w:szCs w:val="20"/>
          <w:color w:val="auto"/>
        </w:rPr>
      </w:pPr>
    </w:p>
    <w:p>
      <w:pPr>
        <w:jc w:val="both"/>
        <w:ind w:left="1500"/>
        <w:spacing w:after="0" w:line="258" w:lineRule="auto"/>
        <w:rPr>
          <w:sz w:val="20"/>
          <w:szCs w:val="20"/>
          <w:color w:val="auto"/>
        </w:rPr>
      </w:pPr>
      <w:r>
        <w:rPr>
          <w:rFonts w:ascii="Times New Roman" w:cs="Times New Roman" w:eastAsia="Times New Roman" w:hAnsi="Times New Roman"/>
          <w:sz w:val="22"/>
          <w:szCs w:val="22"/>
          <w:color w:val="auto"/>
        </w:rPr>
        <w:t xml:space="preserve">First, to Agent and the Lenders in an amount sufficient to pay in full Agent’s and the Lenders’ reasonable costs and professionals’ and advisors’ fees and expenses as described in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 xml:space="preserve">Second, to the Lenders in an amount equal to the then unpaid amount of the Secured Obligations (including principal, interest, and the default rate interest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in such order and priority as Agent may choose in its sole discretion; and</w:t>
      </w:r>
    </w:p>
    <w:p>
      <w:pPr>
        <w:spacing w:after="0" w:line="173" w:lineRule="exact"/>
        <w:rPr>
          <w:sz w:val="20"/>
          <w:szCs w:val="20"/>
          <w:color w:val="auto"/>
        </w:rPr>
      </w:pPr>
    </w:p>
    <w:p>
      <w:pPr>
        <w:jc w:val="both"/>
        <w:ind w:left="1500" w:right="20"/>
        <w:spacing w:after="0" w:line="244" w:lineRule="auto"/>
        <w:rPr>
          <w:sz w:val="20"/>
          <w:szCs w:val="20"/>
          <w:color w:val="auto"/>
        </w:rPr>
      </w:pPr>
      <w:r>
        <w:rPr>
          <w:rFonts w:ascii="Times New Roman" w:cs="Times New Roman" w:eastAsia="Times New Roman" w:hAnsi="Times New Roman"/>
          <w:sz w:val="22"/>
          <w:szCs w:val="22"/>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Agent shall be deemed to have acted reasonably in the custody, preservation and disposition of any of the Collateral if it complies with the obligations of a secured party under the UCC.</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10.3No Waiver</w:t>
      </w:r>
      <w:r>
        <w:rPr>
          <w:rFonts w:ascii="Times New Roman" w:cs="Times New Roman" w:eastAsia="Times New Roman" w:hAnsi="Times New Roman"/>
          <w:sz w:val="22"/>
          <w:szCs w:val="22"/>
          <w:color w:val="auto"/>
        </w:rPr>
        <w:t>. Agent shall be under no obligation to marshal any of the Collateral for the benefit of Borrower or any other Person, and Borrower expressly waives all rights, if any, to require Agent to marshal any Collateral.</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10.4Cumulative Remedies</w:t>
      </w:r>
      <w:r>
        <w:rPr>
          <w:rFonts w:ascii="Times New Roman" w:cs="Times New Roman" w:eastAsia="Times New Roman" w:hAnsi="Times New Roman"/>
          <w:sz w:val="22"/>
          <w:szCs w:val="22"/>
          <w:color w:val="auto"/>
        </w:rPr>
        <w:t>. The rights, powers and remedies of Agent hereunder shall be in addition to all rights, powers and remedies given by statute or rule of law and are cumulative.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22"/>
          <w:szCs w:val="22"/>
          <w:color w:val="auto"/>
        </w:rPr>
        <w:t>The exercise of any one or more of the rights, powers and remedies provided herein shall not be construed as a waiver of or election of remedies with respect to any other rights, powers and remedies of Agent.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10.5Waivers</w:t>
      </w:r>
      <w:r>
        <w:rPr>
          <w:rFonts w:ascii="Times New Roman" w:cs="Times New Roman" w:eastAsia="Times New Roman" w:hAnsi="Times New Roman"/>
          <w:sz w:val="22"/>
          <w:szCs w:val="22"/>
          <w:color w:val="auto"/>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SECTION 11MISCELLANEOUS</w:t>
      </w:r>
    </w:p>
    <w:p>
      <w:pPr>
        <w:spacing w:after="0" w:line="210"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11.1Severability</w:t>
      </w:r>
      <w:r>
        <w:rPr>
          <w:rFonts w:ascii="Times New Roman" w:cs="Times New Roman" w:eastAsia="Times New Roman" w:hAnsi="Times New Roman"/>
          <w:sz w:val="22"/>
          <w:szCs w:val="22"/>
          <w:color w:val="auto"/>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8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11.2Notice</w:t>
      </w:r>
      <w:r>
        <w:rPr>
          <w:rFonts w:ascii="Times New Roman" w:cs="Times New Roman" w:eastAsia="Times New Roman" w:hAnsi="Times New Roman"/>
          <w:sz w:val="22"/>
          <w:szCs w:val="22"/>
          <w:color w:val="auto"/>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83" w:lineRule="exact"/>
        <w:rPr>
          <w:sz w:val="20"/>
          <w:szCs w:val="20"/>
          <w:color w:val="auto"/>
        </w:rPr>
      </w:pPr>
    </w:p>
    <w:p>
      <w:pPr>
        <w:ind w:left="2040" w:hanging="535"/>
        <w:spacing w:after="0"/>
        <w:tabs>
          <w:tab w:leader="none" w:pos="2040"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to Agent: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Legal Department</w:t>
      </w:r>
    </w:p>
    <w:p>
      <w:pPr>
        <w:ind w:left="2260"/>
        <w:spacing w:after="0" w:line="230" w:lineRule="auto"/>
        <w:rPr>
          <w:sz w:val="20"/>
          <w:szCs w:val="20"/>
          <w:color w:val="auto"/>
        </w:rPr>
      </w:pPr>
      <w:r>
        <w:rPr>
          <w:rFonts w:ascii="Times New Roman" w:cs="Times New Roman" w:eastAsia="Times New Roman" w:hAnsi="Times New Roman"/>
          <w:sz w:val="22"/>
          <w:szCs w:val="22"/>
          <w:color w:val="auto"/>
        </w:rPr>
        <w:t>Attention: Chief Legal Officer, Bryan Jadot and Jeff Ralto</w:t>
      </w:r>
    </w:p>
    <w:p>
      <w:pPr>
        <w:ind w:left="2260"/>
        <w:spacing w:after="0" w:line="231" w:lineRule="auto"/>
        <w:rPr>
          <w:sz w:val="20"/>
          <w:szCs w:val="20"/>
          <w:color w:val="auto"/>
        </w:rPr>
      </w:pPr>
      <w:r>
        <w:rPr>
          <w:rFonts w:ascii="Times New Roman" w:cs="Times New Roman" w:eastAsia="Times New Roman" w:hAnsi="Times New Roman"/>
          <w:sz w:val="22"/>
          <w:szCs w:val="22"/>
          <w:color w:val="auto"/>
        </w:rPr>
        <w:t>1 North B Street, Suite 2000</w:t>
      </w:r>
    </w:p>
    <w:p>
      <w:pPr>
        <w:ind w:left="2260"/>
        <w:spacing w:after="0" w:line="230" w:lineRule="auto"/>
        <w:rPr>
          <w:sz w:val="20"/>
          <w:szCs w:val="20"/>
          <w:color w:val="auto"/>
        </w:rPr>
      </w:pPr>
      <w:r>
        <w:rPr>
          <w:rFonts w:ascii="Times New Roman" w:cs="Times New Roman" w:eastAsia="Times New Roman" w:hAnsi="Times New Roman"/>
          <w:sz w:val="22"/>
          <w:szCs w:val="22"/>
          <w:color w:val="auto"/>
        </w:rPr>
        <w:t>San Mateo, CA 94401</w:t>
      </w:r>
    </w:p>
    <w:p>
      <w:pPr>
        <w:ind w:left="226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2260"/>
        <w:spacing w:after="0"/>
        <w:rPr>
          <w:sz w:val="20"/>
          <w:szCs w:val="20"/>
          <w:color w:val="auto"/>
        </w:rPr>
      </w:pPr>
      <w:r>
        <w:rPr>
          <w:rFonts w:ascii="Times New Roman" w:cs="Times New Roman" w:eastAsia="Times New Roman" w:hAnsi="Times New Roman"/>
          <w:sz w:val="22"/>
          <w:szCs w:val="22"/>
          <w:color w:val="auto"/>
        </w:rPr>
        <w:t>Telephone: [***]</w:t>
      </w:r>
    </w:p>
    <w:p>
      <w:pPr>
        <w:spacing w:after="0" w:line="182" w:lineRule="exact"/>
        <w:rPr>
          <w:sz w:val="20"/>
          <w:szCs w:val="20"/>
          <w:color w:val="auto"/>
        </w:rPr>
      </w:pPr>
    </w:p>
    <w:p>
      <w:pPr>
        <w:ind w:left="2040" w:hanging="535"/>
        <w:spacing w:after="0"/>
        <w:tabs>
          <w:tab w:leader="none" w:pos="2040"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to the Lenders:</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HERCULES SBIC V, L.P.</w:t>
      </w:r>
    </w:p>
    <w:p>
      <w:pPr>
        <w:ind w:left="2260"/>
        <w:spacing w:after="0" w:line="230" w:lineRule="auto"/>
        <w:rPr>
          <w:sz w:val="20"/>
          <w:szCs w:val="20"/>
          <w:color w:val="auto"/>
        </w:rPr>
      </w:pPr>
      <w:r>
        <w:rPr>
          <w:rFonts w:ascii="Times New Roman" w:cs="Times New Roman" w:eastAsia="Times New Roman" w:hAnsi="Times New Roman"/>
          <w:sz w:val="22"/>
          <w:szCs w:val="22"/>
          <w:color w:val="auto"/>
        </w:rPr>
        <w:t>Legal Department</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Attention: Chief Legal Officer, Bryan Jadot and Jeff Ralto</w:t>
      </w:r>
    </w:p>
    <w:p>
      <w:pPr>
        <w:ind w:left="2260"/>
        <w:spacing w:after="0" w:line="230" w:lineRule="auto"/>
        <w:rPr>
          <w:sz w:val="20"/>
          <w:szCs w:val="20"/>
          <w:color w:val="auto"/>
        </w:rPr>
      </w:pPr>
      <w:r>
        <w:rPr>
          <w:rFonts w:ascii="Times New Roman" w:cs="Times New Roman" w:eastAsia="Times New Roman" w:hAnsi="Times New Roman"/>
          <w:sz w:val="22"/>
          <w:szCs w:val="22"/>
          <w:color w:val="auto"/>
        </w:rPr>
        <w:t>1 North B Street, Suite 2000</w:t>
      </w:r>
    </w:p>
    <w:p>
      <w:pPr>
        <w:ind w:left="2260"/>
        <w:spacing w:after="0" w:line="231" w:lineRule="auto"/>
        <w:rPr>
          <w:sz w:val="20"/>
          <w:szCs w:val="20"/>
          <w:color w:val="auto"/>
        </w:rPr>
      </w:pPr>
      <w:r>
        <w:rPr>
          <w:rFonts w:ascii="Times New Roman" w:cs="Times New Roman" w:eastAsia="Times New Roman" w:hAnsi="Times New Roman"/>
          <w:sz w:val="22"/>
          <w:szCs w:val="22"/>
          <w:color w:val="auto"/>
        </w:rPr>
        <w:t>San Mateo, CA 94401</w:t>
      </w:r>
    </w:p>
    <w:p>
      <w:pPr>
        <w:ind w:left="2260"/>
        <w:spacing w:after="0" w:line="230"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Telephone: [***]</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ind w:left="2040" w:hanging="535"/>
        <w:spacing w:after="0"/>
        <w:tabs>
          <w:tab w:leader="none" w:pos="2040"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to Borrower: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John Quisel, JD, PhD, Chief Executive Officer</w:t>
      </w:r>
    </w:p>
    <w:p>
      <w:pPr>
        <w:ind w:left="2260"/>
        <w:spacing w:after="0" w:line="230" w:lineRule="auto"/>
        <w:rPr>
          <w:sz w:val="20"/>
          <w:szCs w:val="20"/>
          <w:color w:val="auto"/>
        </w:rPr>
      </w:pPr>
      <w:r>
        <w:rPr>
          <w:rFonts w:ascii="Times New Roman" w:cs="Times New Roman" w:eastAsia="Times New Roman" w:hAnsi="Times New Roman"/>
          <w:sz w:val="22"/>
          <w:szCs w:val="22"/>
          <w:color w:val="auto"/>
        </w:rPr>
        <w:t>Jean Franchi, Chief Financial Officer</w:t>
      </w:r>
    </w:p>
    <w:p>
      <w:pPr>
        <w:ind w:left="2260"/>
        <w:spacing w:after="0" w:line="231" w:lineRule="auto"/>
        <w:rPr>
          <w:sz w:val="20"/>
          <w:szCs w:val="20"/>
          <w:color w:val="auto"/>
        </w:rPr>
      </w:pPr>
      <w:r>
        <w:rPr>
          <w:rFonts w:ascii="Times New Roman" w:cs="Times New Roman" w:eastAsia="Times New Roman" w:hAnsi="Times New Roman"/>
          <w:sz w:val="22"/>
          <w:szCs w:val="22"/>
          <w:color w:val="auto"/>
        </w:rPr>
        <w:t>321 Arsenal Street, Suite 101</w:t>
      </w:r>
    </w:p>
    <w:p>
      <w:pPr>
        <w:ind w:left="2260"/>
        <w:spacing w:after="0" w:line="230" w:lineRule="auto"/>
        <w:rPr>
          <w:sz w:val="20"/>
          <w:szCs w:val="20"/>
          <w:color w:val="auto"/>
        </w:rPr>
      </w:pPr>
      <w:r>
        <w:rPr>
          <w:rFonts w:ascii="Times New Roman" w:cs="Times New Roman" w:eastAsia="Times New Roman" w:hAnsi="Times New Roman"/>
          <w:sz w:val="22"/>
          <w:szCs w:val="22"/>
          <w:color w:val="auto"/>
        </w:rPr>
        <w:t>Watertown, MA 02472</w:t>
      </w:r>
    </w:p>
    <w:p>
      <w:pPr>
        <w:ind w:left="226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2260"/>
        <w:spacing w:after="0"/>
        <w:rPr>
          <w:sz w:val="20"/>
          <w:szCs w:val="20"/>
          <w:color w:val="auto"/>
        </w:rPr>
      </w:pPr>
      <w:r>
        <w:rPr>
          <w:rFonts w:ascii="Times New Roman" w:cs="Times New Roman" w:eastAsia="Times New Roman" w:hAnsi="Times New Roman"/>
          <w:sz w:val="22"/>
          <w:szCs w:val="22"/>
          <w:color w:val="auto"/>
        </w:rPr>
        <w:t>Telephone: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or to such other address as each party may designate for itself by like notice.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11.3Entire Agreement;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October 3, 2024, and the Non-Disclosure Agreement).</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43" w:lineRule="auto"/>
        <w:tabs>
          <w:tab w:leader="none" w:pos="2036" w:val="left"/>
        </w:tabs>
        <w:numPr>
          <w:ilvl w:val="0"/>
          <w:numId w:val="6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21"/>
          <w:szCs w:val="21"/>
          <w:u w:val="single" w:color="auto"/>
          <w:color w:val="auto"/>
        </w:rPr>
        <w:t>Section 11.3(b)</w:t>
      </w:r>
      <w:r>
        <w:rPr>
          <w:rFonts w:ascii="Times New Roman" w:cs="Times New Roman" w:eastAsia="Times New Roman" w:hAnsi="Times New Roman"/>
          <w:sz w:val="21"/>
          <w:szCs w:val="21"/>
          <w:color w:val="auto"/>
        </w:rPr>
        <w:t xml:space="preserve">. The Required Lenders and Borrower party to the relevant Loan Document may, or, with the written consent of the Required Lenders, the Agent and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Borrower of any of its rights and obligations under this Agreement and the other Loan Documents (except as otherwise permitted herein), release all or substantially all of the Collateral or release a Borrower from its obligations under the Loan Documents (except as otherwise permitted herein), in each case without the written consent of all Lenders; or (D) amend, modify or waive any provision of </w:t>
      </w:r>
      <w:r>
        <w:rPr>
          <w:rFonts w:ascii="Times New Roman" w:cs="Times New Roman" w:eastAsia="Times New Roman" w:hAnsi="Times New Roman"/>
          <w:sz w:val="21"/>
          <w:szCs w:val="21"/>
          <w:u w:val="single" w:color="auto"/>
          <w:color w:val="auto"/>
        </w:rPr>
        <w:t>Section 11.18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Addendum 4</w:t>
      </w:r>
      <w:r>
        <w:rPr>
          <w:rFonts w:ascii="Times New Roman" w:cs="Times New Roman" w:eastAsia="Times New Roman" w:hAnsi="Times New Roman"/>
          <w:sz w:val="21"/>
          <w:szCs w:val="21"/>
          <w:color w:val="auto"/>
        </w:rPr>
        <w:t xml:space="preserve"> without the written consent of the Agent. Any such waiver and any such amendment, supplement or modification shall apply equally to each Lender and shall be binding upon Borrower, the Lender, the Agent and all future holders of the Loans.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11.4No Strict Construction</w:t>
      </w:r>
      <w:r>
        <w:rPr>
          <w:rFonts w:ascii="Times New Roman" w:cs="Times New Roman" w:eastAsia="Times New Roman" w:hAnsi="Times New Roman"/>
          <w:sz w:val="22"/>
          <w:szCs w:val="22"/>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11.5No Waiver</w:t>
      </w:r>
      <w:r>
        <w:rPr>
          <w:rFonts w:ascii="Times New Roman" w:cs="Times New Roman" w:eastAsia="Times New Roman" w:hAnsi="Times New Roman"/>
          <w:sz w:val="22"/>
          <w:szCs w:val="22"/>
          <w:color w:val="auto"/>
        </w:rPr>
        <w:t>.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11.6Survival</w:t>
      </w:r>
      <w:r>
        <w:rPr>
          <w:rFonts w:ascii="Times New Roman" w:cs="Times New Roman" w:eastAsia="Times New Roman" w:hAnsi="Times New Roman"/>
          <w:sz w:val="22"/>
          <w:szCs w:val="22"/>
          <w:color w:val="auto"/>
        </w:rPr>
        <w:t>.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and 11.15 shall survive the termination of this Agreement.</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11.7Successors and Assigns</w:t>
      </w:r>
      <w:r>
        <w:rPr>
          <w:rFonts w:ascii="Times New Roman" w:cs="Times New Roman" w:eastAsia="Times New Roman" w:hAnsi="Times New Roman"/>
          <w:sz w:val="21"/>
          <w:szCs w:val="21"/>
          <w:color w:val="auto"/>
        </w:rPr>
        <w:t>.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not assign, transfer, or endorse its rights hereunder and under the other Loan Documents without the prior written consent of Company (such consent not to be unreasonably withheld, conditioned or delayed); provided that (i) no such consent shall be required for any such assignment, transfer or endorsement (x) after the occurrence of an Event of Default that is continuing, or (y) to Agent or a Lender or Affiliate of any Lender or Agent, and all of such rights shall inure to the benefit of Agent’s and the Lenders’ successors and permitted assigns. Notwithstanding the foregoing, (x) no such assignment, transfer or endorsement may be made to any direct competitor of Borrower unless an Event of Default shall have occurred and be continuing, (y)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(z) in connection with a Lender’s own financing or securitization transactions, the restrictions set forth herein shall not apply and Agent and the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(z)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Borrower, the Agent and the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11.8Participations</w:t>
      </w:r>
      <w:r>
        <w:rPr>
          <w:rFonts w:ascii="Times New Roman" w:cs="Times New Roman" w:eastAsia="Times New Roman" w:hAnsi="Times New Roman"/>
          <w:sz w:val="22"/>
          <w:szCs w:val="22"/>
          <w:color w:val="auto"/>
        </w:rPr>
        <w:t xml:space="preserve">.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w:t>
      </w:r>
      <w:r>
        <w:rPr>
          <w:rFonts w:ascii="Times New Roman" w:cs="Times New Roman" w:eastAsia="Times New Roman" w:hAnsi="Times New Roman"/>
          <w:sz w:val="22"/>
          <w:szCs w:val="22"/>
          <w:u w:val="single" w:color="auto"/>
          <w:color w:val="auto"/>
        </w:rPr>
        <w:t>Addendum 1</w:t>
      </w:r>
      <w:r>
        <w:rPr>
          <w:rFonts w:ascii="Times New Roman" w:cs="Times New Roman" w:eastAsia="Times New Roman" w:hAnsi="Times New Roman"/>
          <w:sz w:val="22"/>
          <w:szCs w:val="22"/>
          <w:color w:val="auto"/>
        </w:rPr>
        <w:t xml:space="preserve"> attached hereto (subject to the requirements and limitations therein, including the requirements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Addendum 1</w:t>
      </w:r>
      <w:r>
        <w:rPr>
          <w:rFonts w:ascii="Times New Roman" w:cs="Times New Roman" w:eastAsia="Times New Roman" w:hAnsi="Times New Roman"/>
          <w:sz w:val="22"/>
          <w:szCs w:val="22"/>
          <w:color w:val="auto"/>
        </w:rPr>
        <w:t xml:space="preserve"> attached hereto (it being understood that the documentation required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Addendum 1</w:t>
      </w:r>
      <w:r>
        <w:rPr>
          <w:rFonts w:ascii="Times New Roman" w:cs="Times New Roman" w:eastAsia="Times New Roman" w:hAnsi="Times New Roman"/>
          <w:sz w:val="22"/>
          <w:szCs w:val="22"/>
          <w:color w:val="auto"/>
        </w:rPr>
        <w:t xml:space="preserve"> attached hereto shall be delivered to the participating Lender))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provided that such participant shall not be entitled to receive any greater payment under </w:t>
      </w:r>
      <w:r>
        <w:rPr>
          <w:rFonts w:ascii="Times New Roman" w:cs="Times New Roman" w:eastAsia="Times New Roman" w:hAnsi="Times New Roman"/>
          <w:sz w:val="22"/>
          <w:szCs w:val="22"/>
          <w:u w:val="single" w:color="auto"/>
          <w:color w:val="auto"/>
        </w:rPr>
        <w:t>Addendum 1</w:t>
      </w:r>
      <w:r>
        <w:rPr>
          <w:rFonts w:ascii="Times New Roman" w:cs="Times New Roman" w:eastAsia="Times New Roman" w:hAnsi="Times New Roman"/>
          <w:sz w:val="22"/>
          <w:szCs w:val="22"/>
          <w:color w:val="auto"/>
        </w:rPr>
        <w:t xml:space="preserve">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11.9Governing Law</w:t>
      </w:r>
      <w:r>
        <w:rPr>
          <w:rFonts w:ascii="Times New Roman" w:cs="Times New Roman" w:eastAsia="Times New Roman" w:hAnsi="Times New Roman"/>
          <w:sz w:val="22"/>
          <w:szCs w:val="22"/>
          <w:color w:val="auto"/>
        </w:rPr>
        <w:t>. This Agreement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11.10Consent to Jurisdiction and Venue</w:t>
      </w:r>
      <w:r>
        <w:rPr>
          <w:rFonts w:ascii="Times New Roman" w:cs="Times New Roman" w:eastAsia="Times New Roman" w:hAnsi="Times New Roman"/>
          <w:sz w:val="22"/>
          <w:szCs w:val="22"/>
          <w:color w:val="auto"/>
        </w:rPr>
        <w:t xml:space="preserve">. All judicial proceedings (to the extent that the reference requirement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11.11</w:t>
      </w:r>
      <w:r>
        <w:rPr>
          <w:rFonts w:ascii="Times New Roman" w:cs="Times New Roman" w:eastAsia="Times New Roman" w:hAnsi="Times New Roman"/>
          <w:sz w:val="22"/>
          <w:szCs w:val="22"/>
          <w:color w:val="auto"/>
        </w:rPr>
        <w:t xml:space="preserve">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County, State of California; (c) agrees not to assert any defense based on lack of jurisdiction or venue in the aforesaid courts; and</w:t>
      </w:r>
    </w:p>
    <w:p>
      <w:pPr>
        <w:spacing w:after="0" w:line="26" w:lineRule="exact"/>
        <w:rPr>
          <w:sz w:val="20"/>
          <w:szCs w:val="20"/>
          <w:color w:val="auto"/>
        </w:rPr>
      </w:pPr>
    </w:p>
    <w:p>
      <w:pPr>
        <w:jc w:val="both"/>
        <w:ind w:firstLine="8"/>
        <w:spacing w:after="0" w:line="233" w:lineRule="auto"/>
        <w:tabs>
          <w:tab w:leader="none" w:pos="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and shall be deemed effective and received as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Nothing herein shall affect the right to serve process in any other manner permitted by law or shall limit the right of either party to bring proceedings in the courts of any other jurisdiction.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11.11Mutual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87" w:lineRule="exact"/>
        <w:rPr>
          <w:rFonts w:ascii="Times New Roman" w:cs="Times New Roman" w:eastAsia="Times New Roman" w:hAnsi="Times New Roman"/>
          <w:sz w:val="22"/>
          <w:szCs w:val="22"/>
          <w:u w:val="single" w:color="auto"/>
          <w:color w:val="auto"/>
        </w:rPr>
      </w:pPr>
    </w:p>
    <w:p>
      <w:pPr>
        <w:jc w:val="both"/>
        <w:ind w:firstLine="1505"/>
        <w:spacing w:after="0" w:line="238" w:lineRule="auto"/>
        <w:tabs>
          <w:tab w:leader="none" w:pos="2036"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If the waiver of jury trial set forth in </w:t>
      </w:r>
      <w:r>
        <w:rPr>
          <w:rFonts w:ascii="Times New Roman" w:cs="Times New Roman" w:eastAsia="Times New Roman" w:hAnsi="Times New Roman"/>
          <w:sz w:val="22"/>
          <w:szCs w:val="22"/>
          <w:u w:val="single" w:color="auto"/>
          <w:color w:val="auto"/>
        </w:rPr>
        <w:t>Section 11.11(a)</w:t>
      </w:r>
      <w:r>
        <w:rPr>
          <w:rFonts w:ascii="Times New Roman" w:cs="Times New Roman" w:eastAsia="Times New Roman" w:hAnsi="Times New Roman"/>
          <w:sz w:val="22"/>
          <w:szCs w:val="22"/>
          <w:color w:val="auto"/>
        </w:rPr>
        <w:t xml:space="preserve">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76" w:lineRule="exact"/>
        <w:rPr>
          <w:rFonts w:ascii="Times New Roman" w:cs="Times New Roman" w:eastAsia="Times New Roman" w:hAnsi="Times New Roman"/>
          <w:sz w:val="22"/>
          <w:szCs w:val="22"/>
          <w:u w:val="single" w:color="auto"/>
          <w:color w:val="auto"/>
        </w:rPr>
      </w:pPr>
    </w:p>
    <w:p>
      <w:pPr>
        <w:jc w:val="both"/>
        <w:ind w:firstLine="1505"/>
        <w:spacing w:after="0" w:line="261" w:lineRule="auto"/>
        <w:tabs>
          <w:tab w:leader="none" w:pos="2036" w:val="left"/>
        </w:tabs>
        <w:numPr>
          <w:ilvl w:val="0"/>
          <w:numId w:val="6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In the event Claims are to be resolved by judicial reference, either party may seek from a court identified in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any prejudgment order, writ or other relief and have such prejudgment order, writ or other relief enforced to the fullest extent permitted by law notwithstanding that all Claims are otherwise subject to resolution by judicial reference.</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11.12Professional Fees</w:t>
      </w:r>
      <w:r>
        <w:rPr>
          <w:rFonts w:ascii="Times New Roman" w:cs="Times New Roman" w:eastAsia="Times New Roman" w:hAnsi="Times New Roman"/>
          <w:sz w:val="22"/>
          <w:szCs w:val="22"/>
          <w:color w:val="auto"/>
        </w:rPr>
        <w:t>. Borrower promises to pay Agent’s and the Lenders’ reasonable and documented fees and out-of-pocket expenses necessary to finalize the loan documentation, including but not limited to reasonable and documented attorneys’ fees, UCC searches, filing costs, and other miscellaneous out-of-pocket expenses. In addition, Borrower promises to pay any and all reasonable and documented attorneys’ and other professionals’ fees and out of pocket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spacing w:after="0" w:line="236" w:lineRule="auto"/>
        <w:rPr>
          <w:sz w:val="20"/>
          <w:szCs w:val="20"/>
          <w:color w:val="auto"/>
        </w:rPr>
      </w:pPr>
      <w:r>
        <w:rPr>
          <w:rFonts w:ascii="Times New Roman" w:cs="Times New Roman" w:eastAsia="Times New Roman" w:hAnsi="Times New Roman"/>
          <w:sz w:val="22"/>
          <w:szCs w:val="22"/>
          <w:color w:val="auto"/>
        </w:rPr>
        <w:t>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u w:val="single" w:color="auto"/>
          <w:color w:val="auto"/>
        </w:rPr>
        <w:t>11.13Confidentiality</w:t>
      </w:r>
      <w:r>
        <w:rPr>
          <w:rFonts w:ascii="Times New Roman" w:cs="Times New Roman" w:eastAsia="Times New Roman" w:hAnsi="Times New Roman"/>
          <w:sz w:val="21"/>
          <w:szCs w:val="21"/>
          <w:color w:val="auto"/>
        </w:rPr>
        <w:t>.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an Event of Default), or any action or proceeding relating to any Loan Document; (g) to any participant or assignee of Agent or the Lenders permitted hereunder or any prospective participant or assignee permitted hereunder,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the Agent or the Lenders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Borrower; or (j) otherwise with the prior consent of Borrower; provided, that any disclosure made in violation of this Agreement shall not affect the obligations of Borrower or any of its Affiliates or any guarantor under this Agreement or the other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22"/>
          <w:szCs w:val="22"/>
          <w:color w:val="auto"/>
        </w:rPr>
        <w:t>Loan Documents. Agent’s and the Lenders’ obligations under this Section 11.13 shall supersede all of their respective obligations under the Non-Disclosure Agreement.</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11.14Assignment of Rights</w:t>
      </w:r>
      <w:r>
        <w:rPr>
          <w:rFonts w:ascii="Times New Roman" w:cs="Times New Roman" w:eastAsia="Times New Roman" w:hAnsi="Times New Roman"/>
          <w:sz w:val="22"/>
          <w:szCs w:val="22"/>
          <w:color w:val="auto"/>
        </w:rPr>
        <w:t xml:space="preserve">. Borrower acknowledges and understands that Agent or the Lenders may, subject to (and in compliance with)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sell and assign all or part of its interest hereunder and under the Loan Documents to any Person or entity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Each Lender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11.15Revival of Secured Obligations</w:t>
      </w:r>
      <w:r>
        <w:rPr>
          <w:rFonts w:ascii="Times New Roman" w:cs="Times New Roman" w:eastAsia="Times New Roman" w:hAnsi="Times New Roman"/>
          <w:sz w:val="22"/>
          <w:szCs w:val="22"/>
          <w:color w:val="auto"/>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11.16Counterparts</w:t>
      </w:r>
      <w:r>
        <w:rPr>
          <w:rFonts w:ascii="Times New Roman" w:cs="Times New Roman" w:eastAsia="Times New Roman" w:hAnsi="Times New Roman"/>
          <w:sz w:val="22"/>
          <w:szCs w:val="22"/>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Borrower and Agent.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Electronics Transactions Act, or any other similar state laws based on the Uniform Electronic Transactions Act.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11.17No Third Party Beneficiaries</w:t>
      </w:r>
      <w:r>
        <w:rPr>
          <w:rFonts w:ascii="Times New Roman" w:cs="Times New Roman" w:eastAsia="Times New Roman" w:hAnsi="Times New Roman"/>
          <w:sz w:val="22"/>
          <w:szCs w:val="22"/>
          <w:color w:val="auto"/>
        </w:rPr>
        <w:t>.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Borrower.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11.18Agency</w:t>
      </w:r>
      <w:r>
        <w:rPr>
          <w:rFonts w:ascii="Times New Roman" w:cs="Times New Roman" w:eastAsia="Times New Roman" w:hAnsi="Times New Roman"/>
          <w:sz w:val="21"/>
          <w:szCs w:val="21"/>
          <w:color w:val="auto"/>
        </w:rPr>
        <w:t xml:space="preserve">. Agent and each Lender hereby agree to the terms and conditions set forth on </w:t>
      </w:r>
      <w:r>
        <w:rPr>
          <w:rFonts w:ascii="Times New Roman" w:cs="Times New Roman" w:eastAsia="Times New Roman" w:hAnsi="Times New Roman"/>
          <w:sz w:val="21"/>
          <w:szCs w:val="21"/>
          <w:u w:val="single" w:color="auto"/>
          <w:color w:val="auto"/>
        </w:rPr>
        <w:t>Addendum 4</w:t>
      </w:r>
      <w:r>
        <w:rPr>
          <w:rFonts w:ascii="Times New Roman" w:cs="Times New Roman" w:eastAsia="Times New Roman" w:hAnsi="Times New Roman"/>
          <w:sz w:val="21"/>
          <w:szCs w:val="21"/>
          <w:color w:val="auto"/>
        </w:rPr>
        <w:t xml:space="preserve"> attached hereto.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Borrower acknowledges and agrees to the terms and conditions set forth on </w:t>
      </w:r>
      <w:r>
        <w:rPr>
          <w:rFonts w:ascii="Times New Roman" w:cs="Times New Roman" w:eastAsia="Times New Roman" w:hAnsi="Times New Roman"/>
          <w:sz w:val="22"/>
          <w:szCs w:val="22"/>
          <w:u w:val="single" w:color="auto"/>
          <w:color w:val="auto"/>
        </w:rPr>
        <w:t>Addendum 4</w:t>
      </w:r>
      <w:r>
        <w:rPr>
          <w:rFonts w:ascii="Times New Roman" w:cs="Times New Roman" w:eastAsia="Times New Roman" w:hAnsi="Times New Roman"/>
          <w:sz w:val="22"/>
          <w:szCs w:val="22"/>
          <w:color w:val="auto"/>
        </w:rPr>
        <w:t xml:space="preserve"> attached hereto.</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11.19Publicity</w:t>
      </w:r>
      <w:r>
        <w:rPr>
          <w:rFonts w:ascii="Times New Roman" w:cs="Times New Roman" w:eastAsia="Times New Roman" w:hAnsi="Times New Roman"/>
          <w:sz w:val="22"/>
          <w:szCs w:val="22"/>
          <w:color w:val="auto"/>
        </w:rPr>
        <w:t xml:space="preserve">.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11.20Multiple Borrowers</w:t>
      </w:r>
      <w:r>
        <w:rPr>
          <w:rFonts w:ascii="Times New Roman" w:cs="Times New Roman" w:eastAsia="Times New Roman" w:hAnsi="Times New Roman"/>
          <w:sz w:val="22"/>
          <w:szCs w:val="22"/>
          <w:color w:val="auto"/>
        </w:rPr>
        <w:t xml:space="preserve">. Each Borrower hereby agrees to the terms and conditions set forth on </w:t>
      </w:r>
      <w:r>
        <w:rPr>
          <w:rFonts w:ascii="Times New Roman" w:cs="Times New Roman" w:eastAsia="Times New Roman" w:hAnsi="Times New Roman"/>
          <w:sz w:val="22"/>
          <w:szCs w:val="22"/>
          <w:u w:val="single" w:color="auto"/>
          <w:color w:val="auto"/>
        </w:rPr>
        <w:t>Addendum 5</w:t>
      </w:r>
      <w:r>
        <w:rPr>
          <w:rFonts w:ascii="Times New Roman" w:cs="Times New Roman" w:eastAsia="Times New Roman" w:hAnsi="Times New Roman"/>
          <w:sz w:val="22"/>
          <w:szCs w:val="22"/>
          <w:color w:val="auto"/>
        </w:rPr>
        <w:t xml:space="preserve"> attached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11.21Managerial Assistance</w:t>
      </w:r>
      <w:r>
        <w:rPr>
          <w:rFonts w:ascii="Times New Roman" w:cs="Times New Roman" w:eastAsia="Times New Roman" w:hAnsi="Times New Roman"/>
          <w:sz w:val="22"/>
          <w:szCs w:val="22"/>
          <w:color w:val="auto"/>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Borrower, Agent and the Lenders have duly executed and delivered this Loan and Security Agreement as of the day and year first above written.</w:t>
      </w:r>
    </w:p>
    <w:p>
      <w:pPr>
        <w:spacing w:after="0" w:line="17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BORROWER:</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DISC MEDICINE, INC.</w:t>
      </w:r>
    </w:p>
    <w:p>
      <w:pPr>
        <w:spacing w:after="0" w:line="214" w:lineRule="exact"/>
        <w:rPr>
          <w:sz w:val="20"/>
          <w:szCs w:val="20"/>
          <w:color w:val="auto"/>
        </w:rPr>
      </w:pPr>
    </w:p>
    <w:tbl>
      <w:tblPr>
        <w:tblLayout w:type="fixed"/>
        <w:tblInd w:w="468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6"/>
              </w:rPr>
              <w:t>/s/ Jean Franchi</w:t>
            </w:r>
          </w:p>
        </w:tc>
        <w:tc>
          <w:tcPr>
            <w:tcW w:w="660" w:type="dxa"/>
            <w:vAlign w:val="bottom"/>
          </w:tcPr>
          <w:p>
            <w:pPr>
              <w:spacing w:after="0"/>
              <w:rPr>
                <w:sz w:val="22"/>
                <w:szCs w:val="22"/>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8"/>
              </w:rPr>
              <w:t>Jean Franchi</w:t>
            </w:r>
          </w:p>
        </w:tc>
        <w:tc>
          <w:tcPr>
            <w:tcW w:w="900" w:type="dxa"/>
            <w:vAlign w:val="bottom"/>
            <w:gridSpan w:val="2"/>
          </w:tcPr>
          <w:p>
            <w:pPr>
              <w:spacing w:after="0"/>
              <w:rPr>
                <w:sz w:val="24"/>
                <w:szCs w:val="24"/>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762"/>
        </w:trPr>
        <w:tc>
          <w:tcPr>
            <w:tcW w:w="39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DISC MEDICINE OPCO, INC.</w:t>
            </w:r>
          </w:p>
        </w:tc>
      </w:tr>
      <w:tr>
        <w:trPr>
          <w:trHeight w:val="43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6"/>
              </w:rPr>
              <w:t>/s/ Jean Franchi</w:t>
            </w:r>
          </w:p>
        </w:tc>
        <w:tc>
          <w:tcPr>
            <w:tcW w:w="660" w:type="dxa"/>
            <w:vAlign w:val="bottom"/>
          </w:tcPr>
          <w:p>
            <w:pPr>
              <w:spacing w:after="0"/>
              <w:rPr>
                <w:sz w:val="24"/>
                <w:szCs w:val="24"/>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20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Jean Franchi</w:t>
            </w: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Treasurer</w:t>
            </w:r>
          </w:p>
        </w:tc>
        <w:tc>
          <w:tcPr>
            <w:tcW w:w="920" w:type="dxa"/>
            <w:vAlign w:val="bottom"/>
            <w:gridSpan w:val="3"/>
          </w:tcPr>
          <w:p>
            <w:pPr>
              <w:spacing w:after="0"/>
              <w:rPr>
                <w:sz w:val="24"/>
                <w:szCs w:val="24"/>
                <w:color w:val="auto"/>
              </w:rPr>
            </w:pPr>
          </w:p>
        </w:tc>
      </w:tr>
      <w:tr>
        <w:trPr>
          <w:trHeight w:val="20"/>
        </w:trPr>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8" w:right="579" w:bottom="1440" w:gutter="0" w:footer="0" w:header="0"/>
        </w:sectPr>
      </w:pPr>
    </w:p>
    <w:bookmarkStart w:id="66" w:name="page67"/>
    <w:bookmarkEnd w:id="66"/>
    <w:p>
      <w:pPr>
        <w:ind w:left="3560"/>
        <w:spacing w:after="0"/>
        <w:rPr>
          <w:sz w:val="20"/>
          <w:szCs w:val="20"/>
          <w:color w:val="auto"/>
        </w:rPr>
      </w:pPr>
      <w:r>
        <w:rPr>
          <w:rFonts w:ascii="Times New Roman" w:cs="Times New Roman" w:eastAsia="Times New Roman" w:hAnsi="Times New Roman"/>
          <w:sz w:val="22"/>
          <w:szCs w:val="22"/>
          <w:color w:val="auto"/>
        </w:rPr>
        <w:t>AGENT:</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HERCULES CAPITAL, INC</w:t>
      </w:r>
    </w:p>
    <w:p>
      <w:pPr>
        <w:spacing w:after="0" w:line="214"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67" w:name="page68"/>
    <w:bookmarkEnd w:id="67"/>
    <w:p>
      <w:pPr>
        <w:ind w:left="3560"/>
        <w:spacing w:after="0"/>
        <w:rPr>
          <w:sz w:val="20"/>
          <w:szCs w:val="20"/>
          <w:color w:val="auto"/>
        </w:rPr>
      </w:pPr>
      <w:r>
        <w:rPr>
          <w:rFonts w:ascii="Times New Roman" w:cs="Times New Roman" w:eastAsia="Times New Roman" w:hAnsi="Times New Roman"/>
          <w:sz w:val="22"/>
          <w:szCs w:val="22"/>
          <w:color w:val="auto"/>
        </w:rPr>
        <w:t>LENDERS:</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HERCULES CAPITAL, INC.</w:t>
      </w:r>
    </w:p>
    <w:p>
      <w:pPr>
        <w:spacing w:after="0" w:line="214"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68" w:name="page69"/>
    <w:bookmarkEnd w:id="68"/>
    <w:p>
      <w:pPr>
        <w:ind w:left="3560"/>
        <w:spacing w:after="0"/>
        <w:rPr>
          <w:sz w:val="20"/>
          <w:szCs w:val="20"/>
          <w:color w:val="auto"/>
        </w:rPr>
      </w:pPr>
      <w:r>
        <w:rPr>
          <w:rFonts w:ascii="Times New Roman" w:cs="Times New Roman" w:eastAsia="Times New Roman" w:hAnsi="Times New Roman"/>
          <w:sz w:val="22"/>
          <w:szCs w:val="22"/>
          <w:color w:val="auto"/>
        </w:rPr>
        <w:t>LENDER:</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HERCULES CAPITAL IV, L.P.</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Hercules Technology SBIC Management, LLC, its General</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Partner</w:t>
      </w:r>
    </w:p>
    <w:p>
      <w:pPr>
        <w:spacing w:after="0" w:line="1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Hercules Capital, Inc., its Manager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422" w:right="1399" w:bottom="1440" w:gutter="0" w:footer="0" w:header="0"/>
        </w:sectPr>
      </w:pPr>
    </w:p>
    <w:bookmarkStart w:id="69" w:name="page70"/>
    <w:bookmarkEnd w:id="69"/>
    <w:p>
      <w:pPr>
        <w:ind w:left="3560"/>
        <w:spacing w:after="0"/>
        <w:rPr>
          <w:sz w:val="20"/>
          <w:szCs w:val="20"/>
          <w:color w:val="auto"/>
        </w:rPr>
      </w:pPr>
      <w:r>
        <w:rPr>
          <w:rFonts w:ascii="Times New Roman" w:cs="Times New Roman" w:eastAsia="Times New Roman" w:hAnsi="Times New Roman"/>
          <w:sz w:val="22"/>
          <w:szCs w:val="22"/>
          <w:color w:val="auto"/>
        </w:rPr>
        <w:t>LENDER:</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HERCULES SBIC V, L.P.</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Hercules Technology SBIC Management, LLC, its General</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Partner</w:t>
      </w:r>
    </w:p>
    <w:p>
      <w:pPr>
        <w:spacing w:after="0" w:line="1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Hercules Capital, Inc., its Manager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422" w:right="1399" w:bottom="1440" w:gutter="0" w:footer="0" w:header="0"/>
        </w:sectPr>
      </w:pPr>
    </w:p>
    <w:bookmarkStart w:id="70" w:name="page71"/>
    <w:bookmarkEnd w:id="70"/>
    <w:p>
      <w:pPr>
        <w:ind w:left="3560"/>
        <w:spacing w:after="0"/>
        <w:rPr>
          <w:sz w:val="20"/>
          <w:szCs w:val="20"/>
          <w:color w:val="auto"/>
        </w:rPr>
      </w:pPr>
      <w:r>
        <w:rPr>
          <w:rFonts w:ascii="Times New Roman" w:cs="Times New Roman" w:eastAsia="Times New Roman" w:hAnsi="Times New Roman"/>
          <w:sz w:val="22"/>
          <w:szCs w:val="22"/>
          <w:color w:val="auto"/>
        </w:rPr>
        <w:t>LENDER:</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HERCULES CAPITAL PRIVATE CREDIT FUND 1 L.P.</w:t>
      </w:r>
    </w:p>
    <w:p>
      <w:pPr>
        <w:spacing w:after="0" w:line="2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71" w:name="page72"/>
    <w:bookmarkEnd w:id="71"/>
    <w:p>
      <w:pPr>
        <w:ind w:left="3560"/>
        <w:spacing w:after="0"/>
        <w:rPr>
          <w:sz w:val="20"/>
          <w:szCs w:val="20"/>
          <w:color w:val="auto"/>
        </w:rPr>
      </w:pPr>
      <w:r>
        <w:rPr>
          <w:rFonts w:ascii="Times New Roman" w:cs="Times New Roman" w:eastAsia="Times New Roman" w:hAnsi="Times New Roman"/>
          <w:sz w:val="22"/>
          <w:szCs w:val="22"/>
          <w:color w:val="auto"/>
        </w:rPr>
        <w:t>LENDER:</w:t>
      </w:r>
    </w:p>
    <w:p>
      <w:pPr>
        <w:spacing w:after="0" w:line="229" w:lineRule="exact"/>
        <w:rPr>
          <w:sz w:val="20"/>
          <w:szCs w:val="20"/>
          <w:color w:val="auto"/>
        </w:rPr>
      </w:pPr>
    </w:p>
    <w:p>
      <w:pPr>
        <w:ind w:left="3560" w:right="119"/>
        <w:spacing w:after="0" w:line="262" w:lineRule="auto"/>
        <w:rPr>
          <w:sz w:val="20"/>
          <w:szCs w:val="20"/>
          <w:color w:val="auto"/>
        </w:rPr>
      </w:pPr>
      <w:r>
        <w:rPr>
          <w:rFonts w:ascii="Times New Roman" w:cs="Times New Roman" w:eastAsia="Times New Roman" w:hAnsi="Times New Roman"/>
          <w:sz w:val="22"/>
          <w:szCs w:val="22"/>
          <w:b w:val="1"/>
          <w:bCs w:val="1"/>
          <w:color w:val="auto"/>
        </w:rPr>
        <w:t>HERCULES PRIVATE GLOBAL VENTURE GROWTH FUND I L.P.</w:t>
      </w:r>
    </w:p>
    <w:p>
      <w:pPr>
        <w:spacing w:after="0" w:line="1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Seth Meyer</w:t>
            </w:r>
          </w:p>
        </w:tc>
      </w:tr>
      <w:tr>
        <w:trPr>
          <w:trHeight w:val="51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Seth Meyer</w:t>
            </w:r>
          </w:p>
        </w:tc>
        <w:tc>
          <w:tcPr>
            <w:tcW w:w="600" w:type="dxa"/>
            <w:vAlign w:val="bottom"/>
          </w:tcPr>
          <w:p>
            <w:pPr>
              <w:spacing w:after="0"/>
              <w:rPr>
                <w:sz w:val="24"/>
                <w:szCs w:val="24"/>
                <w:color w:val="auto"/>
              </w:rPr>
            </w:pP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Loan and Security Agreement (Hercules/Disc 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72" w:name="page73"/>
    <w:bookmarkEnd w:id="72"/>
    <w:p>
      <w:pPr>
        <w:ind w:left="100"/>
        <w:spacing w:after="0"/>
        <w:rPr>
          <w:sz w:val="20"/>
          <w:szCs w:val="20"/>
          <w:color w:val="auto"/>
        </w:rPr>
      </w:pPr>
      <w:r>
        <w:rPr>
          <w:rFonts w:ascii="Times New Roman" w:cs="Times New Roman" w:eastAsia="Times New Roman" w:hAnsi="Times New Roman"/>
          <w:sz w:val="22"/>
          <w:szCs w:val="22"/>
          <w:color w:val="auto"/>
        </w:rPr>
        <w:t>Table of Addenda, Exhibits and Schedules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Addendum 1:</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Taxes; Increased Costs</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Addendum 2:</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Delivery Instructions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Addendum 3:</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SBA Provisions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Addendum 4:</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Agent and Lender Terms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Addendum 5:</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Multiple Borrower Terms</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A:</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Advance Request</w:t>
            </w:r>
          </w:p>
        </w:tc>
      </w:tr>
      <w:tr>
        <w:trPr>
          <w:trHeight w:val="270"/>
        </w:trPr>
        <w:tc>
          <w:tcPr>
            <w:tcW w:w="2040" w:type="dxa"/>
            <w:vAlign w:val="bottom"/>
          </w:tcPr>
          <w:p>
            <w:pPr>
              <w:spacing w:after="0"/>
              <w:rPr>
                <w:sz w:val="23"/>
                <w:szCs w:val="23"/>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Attachment to Advance Request</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B:</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Name, Locations, and Other Information for Borrower</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C:</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Reserved</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D:</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Borrower’s and Subsidiaries’ Deposit Accounts and Investment Accounts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E:</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F:</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Joinder Agreement</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Exhibit G:</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ACH Debit Authorization Agreement</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H-1:</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Form of U.S. Tax Compliance Certificate (For Foreign Lenders That Are Not Partnerships For U.S.</w:t>
            </w:r>
          </w:p>
        </w:tc>
      </w:tr>
      <w:tr>
        <w:trPr>
          <w:trHeight w:val="270"/>
        </w:trPr>
        <w:tc>
          <w:tcPr>
            <w:tcW w:w="2040" w:type="dxa"/>
            <w:vAlign w:val="bottom"/>
          </w:tcPr>
          <w:p>
            <w:pPr>
              <w:spacing w:after="0"/>
              <w:rPr>
                <w:sz w:val="23"/>
                <w:szCs w:val="23"/>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H-2:</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Form of U.S. Tax Compliance Certificate (For Foreign Participants That Are Not Partnerships For</w:t>
            </w:r>
          </w:p>
        </w:tc>
      </w:tr>
      <w:tr>
        <w:trPr>
          <w:trHeight w:val="270"/>
        </w:trPr>
        <w:tc>
          <w:tcPr>
            <w:tcW w:w="2040" w:type="dxa"/>
            <w:vAlign w:val="bottom"/>
          </w:tcPr>
          <w:p>
            <w:pPr>
              <w:spacing w:after="0"/>
              <w:rPr>
                <w:sz w:val="23"/>
                <w:szCs w:val="23"/>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U.S. Federal Income Tax Purposes)</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H-3:</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Form of U.S. Tax Compliance Certificate (For Foreign Participants That Are Partnerships For U.S.</w:t>
            </w:r>
          </w:p>
        </w:tc>
      </w:tr>
      <w:tr>
        <w:trPr>
          <w:trHeight w:val="270"/>
        </w:trPr>
        <w:tc>
          <w:tcPr>
            <w:tcW w:w="2040" w:type="dxa"/>
            <w:vAlign w:val="bottom"/>
          </w:tcPr>
          <w:p>
            <w:pPr>
              <w:spacing w:after="0"/>
              <w:rPr>
                <w:sz w:val="23"/>
                <w:szCs w:val="23"/>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H-4:</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Form of U.S. Tax Compliance Certificate (For Foreign Lenders That Are Partnerships For U.S.</w:t>
            </w:r>
          </w:p>
        </w:tc>
      </w:tr>
      <w:tr>
        <w:trPr>
          <w:trHeight w:val="282"/>
        </w:trPr>
        <w:tc>
          <w:tcPr>
            <w:tcW w:w="2040" w:type="dxa"/>
            <w:vAlign w:val="bottom"/>
          </w:tcPr>
          <w:p>
            <w:pPr>
              <w:spacing w:after="0"/>
              <w:rPr>
                <w:sz w:val="24"/>
                <w:szCs w:val="24"/>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501"/>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1.1</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Commitments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1A</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Existing Permitted Indebtedness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1B</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Existing Permitted Investments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5.3</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Consents, Etc.</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5.8</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Tax Matters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5.9</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Current Company IP Claims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5.10(a)</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Current Company IP</w:t>
            </w:r>
          </w:p>
        </w:tc>
      </w:tr>
      <w:tr>
        <w:trPr>
          <w:trHeight w:val="243"/>
        </w:trPr>
        <w:tc>
          <w:tcPr>
            <w:tcW w:w="2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5.10(f)</w:t>
            </w:r>
          </w:p>
        </w:tc>
        <w:tc>
          <w:tcPr>
            <w:tcW w:w="9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Circumstances to Invalidate or Render Unenforceable Current Company IP or Ownership or</w:t>
            </w:r>
          </w:p>
        </w:tc>
      </w:tr>
      <w:tr>
        <w:trPr>
          <w:trHeight w:val="270"/>
        </w:trPr>
        <w:tc>
          <w:tcPr>
            <w:tcW w:w="2040" w:type="dxa"/>
            <w:vAlign w:val="bottom"/>
          </w:tcPr>
          <w:p>
            <w:pPr>
              <w:spacing w:after="0"/>
              <w:rPr>
                <w:sz w:val="23"/>
                <w:szCs w:val="23"/>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Entitlement to License and Exploit Current Company IP</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5.10(g)</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Specified Disputes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5.10(i)</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Claims Regarding Current Company IP</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5.10(j)</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Infringement or Violation of Third Party IP</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5.10(k)</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Certain Settlements, Covenants Not to Sue, Consents, Judgments, Orders</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5.10(l)</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Infringement, Violation, Misappropriation of Current Company IP</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5.10(o)</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Lack of Rights to Current Company IP</w:t>
            </w:r>
          </w:p>
        </w:tc>
      </w:tr>
      <w:tr>
        <w:trPr>
          <w:trHeight w:val="270"/>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5.11</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Borrower Products</w:t>
            </w:r>
          </w:p>
        </w:tc>
      </w:tr>
      <w:tr>
        <w:trPr>
          <w:trHeight w:val="282"/>
        </w:trPr>
        <w:tc>
          <w:tcPr>
            <w:tcW w:w="2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Schedule 5.14</w:t>
            </w:r>
          </w:p>
        </w:tc>
        <w:tc>
          <w:tcPr>
            <w:tcW w:w="9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Subsidiaries; Capitalization</w:t>
            </w:r>
          </w:p>
        </w:tc>
      </w:tr>
      <w:tr>
        <w:trPr>
          <w:trHeight w:val="1871"/>
        </w:trPr>
        <w:tc>
          <w:tcPr>
            <w:tcW w:w="204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3" w:name="page74"/>
    <w:bookmarkEnd w:id="73"/>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ADDENDUM 1 to LOAN AND SECURITY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TAXES; INCREASED COSTS</w:t>
      </w:r>
    </w:p>
    <w:p>
      <w:pPr>
        <w:spacing w:after="0" w:line="206"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Defined Terms</w:t>
      </w:r>
      <w:r>
        <w:rPr>
          <w:rFonts w:ascii="Times New Roman" w:cs="Times New Roman" w:eastAsia="Times New Roman" w:hAnsi="Times New Roman"/>
          <w:sz w:val="22"/>
          <w:szCs w:val="22"/>
          <w:color w:val="auto"/>
        </w:rPr>
        <w:t>. For purposes of this Addendum 1:</w:t>
      </w:r>
    </w:p>
    <w:p>
      <w:pPr>
        <w:spacing w:after="0" w:line="206" w:lineRule="exact"/>
        <w:rPr>
          <w:rFonts w:ascii="Times New Roman" w:cs="Times New Roman" w:eastAsia="Times New Roman" w:hAnsi="Times New Roman"/>
          <w:sz w:val="22"/>
          <w:szCs w:val="22"/>
          <w:color w:val="auto"/>
        </w:rPr>
      </w:pPr>
    </w:p>
    <w:p>
      <w:pPr>
        <w:ind w:left="1500" w:right="20" w:hanging="690"/>
        <w:spacing w:after="0" w:line="262" w:lineRule="auto"/>
        <w:tabs>
          <w:tab w:leader="none" w:pos="12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9" w:lineRule="exact"/>
        <w:rPr>
          <w:rFonts w:ascii="Times New Roman" w:cs="Times New Roman" w:eastAsia="Times New Roman" w:hAnsi="Times New Roman"/>
          <w:sz w:val="22"/>
          <w:szCs w:val="22"/>
          <w:color w:val="auto"/>
        </w:rPr>
      </w:pPr>
    </w:p>
    <w:p>
      <w:pPr>
        <w:ind w:left="1500" w:hanging="690"/>
        <w:spacing w:after="0" w:line="233" w:lineRule="auto"/>
        <w:tabs>
          <w:tab w:leader="none" w:pos="12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82" w:lineRule="exact"/>
        <w:rPr>
          <w:rFonts w:ascii="Times New Roman" w:cs="Times New Roman" w:eastAsia="Times New Roman" w:hAnsi="Times New Roman"/>
          <w:sz w:val="22"/>
          <w:szCs w:val="22"/>
          <w:color w:val="auto"/>
        </w:rPr>
      </w:pPr>
    </w:p>
    <w:p>
      <w:pPr>
        <w:jc w:val="right"/>
        <w:ind w:left="1500" w:hanging="690"/>
        <w:spacing w:after="0" w:line="250" w:lineRule="auto"/>
        <w:tabs>
          <w:tab w:leader="none" w:pos="123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w:t>
      </w:r>
    </w:p>
    <w:p>
      <w:pPr>
        <w:spacing w:after="0" w:line="2" w:lineRule="exact"/>
        <w:rPr>
          <w:rFonts w:ascii="Times New Roman" w:cs="Times New Roman" w:eastAsia="Times New Roman" w:hAnsi="Times New Roman"/>
          <w:sz w:val="21"/>
          <w:szCs w:val="21"/>
          <w:color w:val="auto"/>
        </w:rPr>
      </w:pPr>
    </w:p>
    <w:p>
      <w:pPr>
        <w:jc w:val="both"/>
        <w:ind w:left="1500" w:firstLine="6"/>
        <w:spacing w:after="0" w:line="235" w:lineRule="auto"/>
        <w:tabs>
          <w:tab w:leader="none" w:pos="1885"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any fiscal or regulatory legislation, rules or practices adopted pursuant to any intergovernmental agreement, treaty or convention among Governmental Authority and implementing such Sections of the Code.</w:t>
      </w:r>
    </w:p>
    <w:p>
      <w:pPr>
        <w:spacing w:after="0" w:line="173"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means a Lender that is not a U.S. Person.</w:t>
      </w:r>
    </w:p>
    <w:p>
      <w:pPr>
        <w:spacing w:after="0" w:line="206" w:lineRule="exact"/>
        <w:rPr>
          <w:rFonts w:ascii="Times New Roman" w:cs="Times New Roman" w:eastAsia="Times New Roman" w:hAnsi="Times New Roman"/>
          <w:sz w:val="22"/>
          <w:szCs w:val="22"/>
          <w:color w:val="auto"/>
        </w:rPr>
      </w:pPr>
    </w:p>
    <w:p>
      <w:pPr>
        <w:ind w:left="1500" w:hanging="690"/>
        <w:spacing w:after="0" w:line="246" w:lineRule="auto"/>
        <w:tabs>
          <w:tab w:leader="none" w:pos="12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means (i) Taxes, other than Excluded Taxes, imposed on or with respect to any payment made by or on account of any obligation of Borrower under any Loan Document and (ii) to the extent not otherwise described in clause (i), Other Taxes.</w:t>
      </w:r>
    </w:p>
    <w:p>
      <w:pPr>
        <w:spacing w:after="0" w:line="167" w:lineRule="exact"/>
        <w:rPr>
          <w:rFonts w:ascii="Times New Roman" w:cs="Times New Roman" w:eastAsia="Times New Roman" w:hAnsi="Times New Roman"/>
          <w:sz w:val="22"/>
          <w:szCs w:val="22"/>
          <w:color w:val="auto"/>
        </w:rPr>
      </w:pPr>
    </w:p>
    <w:p>
      <w:pPr>
        <w:ind w:left="1500" w:hanging="690"/>
        <w:spacing w:after="0" w:line="246" w:lineRule="auto"/>
        <w:tabs>
          <w:tab w:leader="none" w:pos="12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4" w:name="page75"/>
    <w:bookmarkEnd w:id="74"/>
    <w:p>
      <w:pPr>
        <w:ind w:left="1500"/>
        <w:spacing w:after="0" w:line="258" w:lineRule="auto"/>
        <w:rPr>
          <w:sz w:val="20"/>
          <w:szCs w:val="20"/>
          <w:color w:val="auto"/>
        </w:rPr>
      </w:pPr>
      <w:r>
        <w:rPr>
          <w:rFonts w:ascii="Times New Roman" w:cs="Times New Roman" w:eastAsia="Times New Roman" w:hAnsi="Times New Roman"/>
          <w:sz w:val="22"/>
          <w:szCs w:val="22"/>
          <w:color w:val="auto"/>
        </w:rPr>
        <w:t>received payments under, received or perfected a security interest under, engaged in any other transaction pursuant to or enforced any Loan Document, or sold or assigned an interest in any Loan or Loan Document).</w:t>
      </w:r>
    </w:p>
    <w:p>
      <w:pPr>
        <w:spacing w:after="0" w:line="154" w:lineRule="exact"/>
        <w:rPr>
          <w:sz w:val="20"/>
          <w:szCs w:val="20"/>
          <w:color w:val="auto"/>
        </w:rPr>
      </w:pPr>
    </w:p>
    <w:p>
      <w:pPr>
        <w:ind w:left="1500" w:hanging="690"/>
        <w:spacing w:after="0" w:line="256" w:lineRule="auto"/>
        <w:tabs>
          <w:tab w:leader="none" w:pos="1237"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57" w:lineRule="exact"/>
        <w:rPr>
          <w:rFonts w:ascii="Times New Roman" w:cs="Times New Roman" w:eastAsia="Times New Roman" w:hAnsi="Times New Roman"/>
          <w:sz w:val="21"/>
          <w:szCs w:val="21"/>
          <w:color w:val="auto"/>
        </w:rPr>
      </w:pPr>
    </w:p>
    <w:p>
      <w:pPr>
        <w:ind w:left="1240" w:hanging="430"/>
        <w:spacing w:after="0"/>
        <w:tabs>
          <w:tab w:leader="none" w:pos="12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means the Agent or any Lender, as applicable.</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Withholding Agent</w:t>
      </w:r>
      <w:r>
        <w:rPr>
          <w:rFonts w:ascii="Times New Roman" w:cs="Times New Roman" w:eastAsia="Times New Roman" w:hAnsi="Times New Roman"/>
          <w:sz w:val="22"/>
          <w:szCs w:val="22"/>
          <w:color w:val="auto"/>
        </w:rPr>
        <w:t>” means Borrower and the Agent.</w:t>
      </w:r>
    </w:p>
    <w:p>
      <w:pPr>
        <w:spacing w:after="0" w:line="206" w:lineRule="exact"/>
        <w:rPr>
          <w:rFonts w:ascii="Times New Roman" w:cs="Times New Roman" w:eastAsia="Times New Roman" w:hAnsi="Times New Roman"/>
          <w:sz w:val="22"/>
          <w:szCs w:val="22"/>
          <w:color w:val="auto"/>
        </w:rPr>
      </w:pPr>
    </w:p>
    <w:p>
      <w:pPr>
        <w:ind w:left="760" w:hanging="752"/>
        <w:spacing w:after="0" w:line="234" w:lineRule="auto"/>
        <w:tabs>
          <w:tab w:leader="none" w:pos="44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 Free of Taxes</w:t>
      </w:r>
      <w:r>
        <w:rPr>
          <w:rFonts w:ascii="Times New Roman" w:cs="Times New Roman" w:eastAsia="Times New Roman" w:hAnsi="Times New Roman"/>
          <w:sz w:val="22"/>
          <w:szCs w:val="22"/>
          <w:color w:val="auto"/>
        </w:rPr>
        <w:t>. Any and all payments by or on account of any obligation of Borrower under any Loan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made without deduction or withholding for any Taxes, except as required by applicable law. If any applicable law, including FATCA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79" w:lineRule="exact"/>
        <w:rPr>
          <w:rFonts w:ascii="Times New Roman" w:cs="Times New Roman" w:eastAsia="Times New Roman" w:hAnsi="Times New Roman"/>
          <w:sz w:val="22"/>
          <w:szCs w:val="22"/>
          <w:color w:val="auto"/>
        </w:rPr>
      </w:pPr>
    </w:p>
    <w:p>
      <w:pPr>
        <w:ind w:left="760" w:hanging="752"/>
        <w:spacing w:after="0" w:line="262" w:lineRule="auto"/>
        <w:tabs>
          <w:tab w:leader="none" w:pos="4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of Other Taxes by Borrower</w:t>
      </w:r>
      <w:r>
        <w:rPr>
          <w:rFonts w:ascii="Times New Roman" w:cs="Times New Roman" w:eastAsia="Times New Roman" w:hAnsi="Times New Roman"/>
          <w:sz w:val="22"/>
          <w:szCs w:val="22"/>
          <w:color w:val="auto"/>
        </w:rPr>
        <w:t>. Borrower shall timely pay to the relevant Governmental Authority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applicable law, or at the option of the Agent timely reimburse it for the payment of, any Other Taxes.</w:t>
      </w:r>
    </w:p>
    <w:p>
      <w:pPr>
        <w:spacing w:after="0" w:line="149" w:lineRule="exact"/>
        <w:rPr>
          <w:rFonts w:ascii="Times New Roman" w:cs="Times New Roman" w:eastAsia="Times New Roman" w:hAnsi="Times New Roman"/>
          <w:sz w:val="22"/>
          <w:szCs w:val="22"/>
          <w:color w:val="auto"/>
        </w:rPr>
      </w:pPr>
    </w:p>
    <w:p>
      <w:pPr>
        <w:ind w:left="760" w:hanging="752"/>
        <w:spacing w:after="0" w:line="234" w:lineRule="auto"/>
        <w:tabs>
          <w:tab w:leader="none" w:pos="44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by Borrower</w:t>
      </w:r>
      <w:r>
        <w:rPr>
          <w:rFonts w:ascii="Times New Roman" w:cs="Times New Roman" w:eastAsia="Times New Roman" w:hAnsi="Times New Roman"/>
          <w:sz w:val="22"/>
          <w:szCs w:val="22"/>
          <w:color w:val="auto"/>
        </w:rPr>
        <w:t>. Borrower shall indemnify each Recipient, within 10 days after demand therefor, for the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the Agent), or by the Agent on its own behalf or on behalf of a Lender, shall be conclusive absent manifest error. In addition,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ind w:left="760" w:hanging="752"/>
        <w:spacing w:after="0" w:line="234" w:lineRule="auto"/>
        <w:tabs>
          <w:tab w:leader="none" w:pos="44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by the Lenders</w:t>
      </w:r>
      <w:r>
        <w:rPr>
          <w:rFonts w:ascii="Times New Roman" w:cs="Times New Roman" w:eastAsia="Times New Roman" w:hAnsi="Times New Roman"/>
          <w:sz w:val="22"/>
          <w:szCs w:val="22"/>
          <w:color w:val="auto"/>
        </w:rPr>
        <w:t>. Each Lender shall severally indemnify the Agent, within 10 days after demand therefor,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 any Indemnified Taxes attributable to such Lender (but only to the extent that Borrower has not already indemnified the Agent for such Indemnified Taxes and without limiting the obligation of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75" w:lineRule="exact"/>
        <w:rPr>
          <w:rFonts w:ascii="Times New Roman" w:cs="Times New Roman" w:eastAsia="Times New Roman" w:hAnsi="Times New Roman"/>
          <w:sz w:val="22"/>
          <w:szCs w:val="22"/>
          <w:color w:val="auto"/>
        </w:rPr>
      </w:pPr>
    </w:p>
    <w:p>
      <w:pPr>
        <w:ind w:left="760" w:hanging="752"/>
        <w:spacing w:after="0" w:line="241" w:lineRule="auto"/>
        <w:tabs>
          <w:tab w:leader="none" w:pos="47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Evidence of Payments</w:t>
      </w:r>
      <w:r>
        <w:rPr>
          <w:rFonts w:ascii="Times New Roman" w:cs="Times New Roman" w:eastAsia="Times New Roman" w:hAnsi="Times New Roman"/>
          <w:sz w:val="22"/>
          <w:szCs w:val="22"/>
          <w:color w:val="auto"/>
        </w:rPr>
        <w:t>. As soon as practicable after any payment of Taxes by Borrower to a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provisions of this Addendum 1,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1"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Status of Lenders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500" w:hanging="690"/>
        <w:spacing w:after="0" w:line="233" w:lineRule="auto"/>
        <w:tabs>
          <w:tab w:leader="none" w:pos="123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Borrower and the Agent (or submit to the appropriate tax authority, as applicable),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Borrower is a U.S. Person,</w:t>
      </w:r>
    </w:p>
    <w:p>
      <w:pPr>
        <w:spacing w:after="0" w:line="206" w:lineRule="exact"/>
        <w:rPr>
          <w:rFonts w:ascii="Times New Roman" w:cs="Times New Roman" w:eastAsia="Times New Roman" w:hAnsi="Times New Roman"/>
          <w:sz w:val="22"/>
          <w:szCs w:val="22"/>
          <w:color w:val="auto"/>
        </w:rPr>
      </w:pPr>
    </w:p>
    <w:p>
      <w:pPr>
        <w:ind w:left="3000" w:hanging="74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that is a U.S. Person shall deliver to Borrower and the Agent on or prior to the date on which such Lender becomes 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jc w:val="both"/>
        <w:ind w:left="1880"/>
        <w:spacing w:after="0" w:line="244" w:lineRule="auto"/>
        <w:rPr>
          <w:sz w:val="20"/>
          <w:szCs w:val="20"/>
          <w:color w:val="auto"/>
        </w:rPr>
      </w:pPr>
      <w:r>
        <w:rPr>
          <w:rFonts w:ascii="Times New Roman" w:cs="Times New Roman" w:eastAsia="Times New Roman" w:hAnsi="Times New Roman"/>
          <w:sz w:val="22"/>
          <w:szCs w:val="22"/>
          <w:color w:val="auto"/>
        </w:rPr>
        <w:t>Lender under this Agreement (and from time to time thereafter upon the reasonable request of Borrower or the Agent), executed copies of IRS Form W-9 certifying that such Lender is exempt from U.S. federal backup withholding tax;</w:t>
      </w:r>
    </w:p>
    <w:p>
      <w:pPr>
        <w:spacing w:after="0" w:line="173" w:lineRule="exact"/>
        <w:rPr>
          <w:sz w:val="20"/>
          <w:szCs w:val="20"/>
          <w:color w:val="auto"/>
        </w:rPr>
      </w:pPr>
    </w:p>
    <w:p>
      <w:pPr>
        <w:ind w:left="1880" w:hanging="746"/>
        <w:spacing w:after="0" w:line="238" w:lineRule="auto"/>
        <w:tabs>
          <w:tab w:leader="none" w:pos="156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w:t>
      </w:r>
    </w:p>
    <w:p>
      <w:pPr>
        <w:spacing w:after="0" w:line="176" w:lineRule="exact"/>
        <w:rPr>
          <w:rFonts w:ascii="Times New Roman" w:cs="Times New Roman" w:eastAsia="Times New Roman" w:hAnsi="Times New Roman"/>
          <w:sz w:val="22"/>
          <w:szCs w:val="22"/>
          <w:color w:val="auto"/>
        </w:rPr>
      </w:pPr>
    </w:p>
    <w:p>
      <w:pPr>
        <w:ind w:left="2640" w:hanging="757"/>
        <w:spacing w:after="0" w:line="247" w:lineRule="auto"/>
        <w:tabs>
          <w:tab w:leader="none" w:pos="232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1" w:lineRule="exact"/>
        <w:rPr>
          <w:rFonts w:ascii="Times New Roman" w:cs="Times New Roman" w:eastAsia="Times New Roman" w:hAnsi="Times New Roman"/>
          <w:sz w:val="21"/>
          <w:szCs w:val="21"/>
          <w:color w:val="auto"/>
        </w:rPr>
      </w:pPr>
    </w:p>
    <w:p>
      <w:pPr>
        <w:ind w:left="2320" w:hanging="437"/>
        <w:spacing w:after="0"/>
        <w:tabs>
          <w:tab w:leader="none" w:pos="232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06" w:lineRule="exact"/>
        <w:rPr>
          <w:rFonts w:ascii="Times New Roman" w:cs="Times New Roman" w:eastAsia="Times New Roman" w:hAnsi="Times New Roman"/>
          <w:sz w:val="22"/>
          <w:szCs w:val="22"/>
          <w:color w:val="auto"/>
        </w:rPr>
      </w:pPr>
    </w:p>
    <w:p>
      <w:pPr>
        <w:ind w:left="2640" w:hanging="757"/>
        <w:spacing w:after="0" w:line="235" w:lineRule="auto"/>
        <w:tabs>
          <w:tab w:leader="none" w:pos="232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and (y) executed copies of IRS Form W-8BEN or IRS Form W-8BEN-E; or</w:t>
      </w:r>
    </w:p>
    <w:p>
      <w:pPr>
        <w:spacing w:after="0" w:line="178" w:lineRule="exact"/>
        <w:rPr>
          <w:rFonts w:ascii="Times New Roman" w:cs="Times New Roman" w:eastAsia="Times New Roman" w:hAnsi="Times New Roman"/>
          <w:sz w:val="22"/>
          <w:szCs w:val="22"/>
          <w:color w:val="auto"/>
        </w:rPr>
      </w:pPr>
    </w:p>
    <w:p>
      <w:pPr>
        <w:ind w:left="2640" w:hanging="757"/>
        <w:spacing w:after="0" w:line="236" w:lineRule="auto"/>
        <w:tabs>
          <w:tab w:leader="none" w:pos="232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W-8IMY, accompanied by IRS Form W-8ECI, IRS Form W-8BEN, IRS Form W-8BEN-E, a U.S. Tax Compliance Certificate substantially in the form of Exhibit H-2 or Exhibit H-3, IRS Form W-9, and/or other certification documents from each beneficial owner, as applicable; provided that if the Foreign Lender is a partnership and one or more direct or indirect partners of</w:t>
      </w: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77" w:name="page78"/>
    <w:bookmarkEnd w:id="77"/>
    <w:p>
      <w:pPr>
        <w:jc w:val="both"/>
        <w:ind w:left="3760"/>
        <w:spacing w:after="0" w:line="244" w:lineRule="auto"/>
        <w:rPr>
          <w:sz w:val="20"/>
          <w:szCs w:val="20"/>
          <w:color w:val="auto"/>
        </w:rPr>
      </w:pPr>
      <w:r>
        <w:rPr>
          <w:rFonts w:ascii="Times New Roman" w:cs="Times New Roman" w:eastAsia="Times New Roman" w:hAnsi="Times New Roman"/>
          <w:sz w:val="22"/>
          <w:szCs w:val="22"/>
          <w:color w:val="auto"/>
        </w:rPr>
        <w:t>such Foreign Lender are claiming the portfolio interest exemption, such Foreign Lender may provide a U.S. Tax Compliance Certificate substantially in the form of Exhibit H-4 on behalf of each such direct and indirect partner;</w:t>
      </w:r>
    </w:p>
    <w:p>
      <w:pPr>
        <w:spacing w:after="0" w:line="173" w:lineRule="exact"/>
        <w:rPr>
          <w:sz w:val="20"/>
          <w:szCs w:val="20"/>
          <w:color w:val="auto"/>
        </w:rPr>
      </w:pPr>
    </w:p>
    <w:p>
      <w:pPr>
        <w:ind w:left="3000" w:hanging="746"/>
        <w:spacing w:after="0" w:line="235" w:lineRule="auto"/>
        <w:tabs>
          <w:tab w:leader="none" w:pos="2683"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w:t>
      </w:r>
    </w:p>
    <w:p>
      <w:pPr>
        <w:spacing w:after="0" w:line="178" w:lineRule="exact"/>
        <w:rPr>
          <w:rFonts w:ascii="Times New Roman" w:cs="Times New Roman" w:eastAsia="Times New Roman" w:hAnsi="Times New Roman"/>
          <w:sz w:val="22"/>
          <w:szCs w:val="22"/>
          <w:color w:val="auto"/>
        </w:rPr>
      </w:pPr>
    </w:p>
    <w:p>
      <w:pPr>
        <w:ind w:left="3000" w:hanging="746"/>
        <w:spacing w:after="0" w:line="233" w:lineRule="auto"/>
        <w:tabs>
          <w:tab w:leader="none" w:pos="2683"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the Agent at the time or times prescribed by law and at such time or times reasonably requested by Borrower or the Agent such documentation prescribed by applicable law (including as prescribed by Section 1471(b)(3)(C)(i) of the Code) and such additional documentation reasonably requested by Borrower or the Agent as may be necessary for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84" w:lineRule="exact"/>
        <w:rPr>
          <w:rFonts w:ascii="Times New Roman" w:cs="Times New Roman" w:eastAsia="Times New Roman" w:hAnsi="Times New Roman"/>
          <w:sz w:val="22"/>
          <w:szCs w:val="22"/>
          <w:color w:val="auto"/>
        </w:rPr>
      </w:pPr>
    </w:p>
    <w:p>
      <w:pPr>
        <w:ind w:left="1500" w:hanging="690"/>
        <w:spacing w:after="0" w:line="244" w:lineRule="auto"/>
        <w:tabs>
          <w:tab w:leader="none" w:pos="123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spacing w:after="0" w:line="169" w:lineRule="exact"/>
        <w:rPr>
          <w:rFonts w:ascii="Times New Roman" w:cs="Times New Roman" w:eastAsia="Times New Roman" w:hAnsi="Times New Roman"/>
          <w:sz w:val="22"/>
          <w:szCs w:val="22"/>
          <w:color w:val="auto"/>
        </w:rPr>
      </w:pPr>
    </w:p>
    <w:p>
      <w:pPr>
        <w:ind w:left="760" w:hanging="752"/>
        <w:spacing w:after="0" w:line="237" w:lineRule="auto"/>
        <w:tabs>
          <w:tab w:leader="none" w:pos="44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Treatment of Certain Refunds</w:t>
      </w:r>
      <w:r>
        <w:rPr>
          <w:rFonts w:ascii="Times New Roman" w:cs="Times New Roman" w:eastAsia="Times New Roman" w:hAnsi="Times New Roman"/>
          <w:sz w:val="22"/>
          <w:szCs w:val="22"/>
          <w:color w:val="auto"/>
        </w:rPr>
        <w:t>. If any party determines, in its sole discretion exercised in good faith, that it has received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83" w:lineRule="exact"/>
        <w:rPr>
          <w:sz w:val="20"/>
          <w:szCs w:val="20"/>
          <w:color w:val="auto"/>
        </w:rPr>
      </w:pPr>
    </w:p>
    <w:p>
      <w:pPr>
        <w:ind w:left="760" w:hanging="752"/>
        <w:spacing w:after="0" w:line="235" w:lineRule="auto"/>
        <w:tabs>
          <w:tab w:leader="none" w:pos="47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Increased Costs</w:t>
      </w:r>
      <w:r>
        <w:rPr>
          <w:rFonts w:ascii="Times New Roman" w:cs="Times New Roman" w:eastAsia="Times New Roman" w:hAnsi="Times New Roman"/>
          <w:sz w:val="22"/>
          <w:szCs w:val="22"/>
          <w:color w:val="auto"/>
        </w:rPr>
        <w:t>. If any change in applicable law shall subject any Recipient to any Taxes (other than (A) Indemnified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spacing w:after="0" w:line="178" w:lineRule="exact"/>
        <w:rPr>
          <w:rFonts w:ascii="Times New Roman" w:cs="Times New Roman" w:eastAsia="Times New Roman" w:hAnsi="Times New Roman"/>
          <w:sz w:val="22"/>
          <w:szCs w:val="22"/>
          <w:color w:val="auto"/>
        </w:rPr>
      </w:pPr>
    </w:p>
    <w:p>
      <w:pPr>
        <w:ind w:left="760" w:hanging="752"/>
        <w:spacing w:after="0" w:line="246" w:lineRule="auto"/>
        <w:tabs>
          <w:tab w:leader="none" w:pos="4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Each party’s obligations under the provisions of this Addendum 1 shall survive the resignation or replacement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Agent or any assignment of rights by, or the replacement of, a Lender, the termination of the Term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ADDENDUM 2 to LOAN AND SECURITY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Delivery Instructions</w:t>
      </w:r>
    </w:p>
    <w:p>
      <w:pPr>
        <w:spacing w:after="0" w:line="224"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22"/>
          <w:szCs w:val="22"/>
          <w:color w:val="auto"/>
        </w:rPr>
        <w:t>The Compliance Certificate shall be uploaded and executed via Lumonic</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All other financial reports required to be furnished to Agent pursuant to Section 7.1 shall be submitted via Lumonic.</w:t>
      </w:r>
    </w:p>
    <w:p>
      <w:pPr>
        <w:spacing w:after="0" w:line="17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Compliance Certificate and other financial reports required to be furnished to Agent pursuant to Section 7.1 may be sent to [***] with a copy to [***], should access to Lumonic be temporarily unavailable.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16884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09" w:lineRule="exact"/>
        <w:rPr>
          <w:sz w:val="20"/>
          <w:szCs w:val="20"/>
          <w:color w:val="auto"/>
        </w:rPr>
      </w:pPr>
    </w:p>
    <w:p>
      <w:pPr>
        <w:ind w:firstLine="8"/>
        <w:spacing w:after="0" w:line="223" w:lineRule="auto"/>
        <w:tabs>
          <w:tab w:leader="none" w:pos="108" w:val="left"/>
        </w:tabs>
        <w:numPr>
          <w:ilvl w:val="0"/>
          <w:numId w:val="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references to Lumonic shall be interpreted as the Portfolio Management Software currently in use by Agent. Lumonic can be reached at the following URL: https://lumonic.com/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0" w:name="page81"/>
    <w:bookmarkEnd w:id="80"/>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ADDENDUM 3 to LOAN AND SECURITY AGREEMENT</w:t>
      </w:r>
    </w:p>
    <w:p>
      <w:pPr>
        <w:spacing w:after="0" w:line="2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SBIC</w:t>
      </w:r>
    </w:p>
    <w:p>
      <w:pPr>
        <w:spacing w:after="0" w:line="212" w:lineRule="exact"/>
        <w:rPr>
          <w:sz w:val="20"/>
          <w:szCs w:val="20"/>
          <w:color w:val="auto"/>
        </w:rPr>
      </w:pPr>
    </w:p>
    <w:p>
      <w:pPr>
        <w:jc w:val="both"/>
        <w:ind w:firstLine="745"/>
        <w:spacing w:after="0" w:line="247"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Borrower’s Business</w:t>
      </w:r>
      <w:r>
        <w:rPr>
          <w:rFonts w:ascii="Times New Roman" w:cs="Times New Roman" w:eastAsia="Times New Roman" w:hAnsi="Times New Roman"/>
          <w:sz w:val="20"/>
          <w:szCs w:val="20"/>
          <w:color w:val="auto"/>
        </w:rPr>
        <w:t>. For purposes of this Addendum 3, Borrower shall be deemed to include its “affiliates”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defined in Title 13 Code of Federal Regulations Section 121.103. Borrower (i) represents and warrants to Agent and Lenders, with respect to subsection 1 below, as of the initial SBA Funding Date, and (ii) represents and warrants to Agent and Lenders, as of each SBA Funding Date and covenants to Agent and Lenders for a period of one year after each SBA Funding Date or for such longer period as set forth below with respect to </w:t>
      </w:r>
      <w:r>
        <w:rPr>
          <w:rFonts w:ascii="Times New Roman" w:cs="Times New Roman" w:eastAsia="Times New Roman" w:hAnsi="Times New Roman"/>
          <w:sz w:val="20"/>
          <w:szCs w:val="20"/>
          <w:u w:val="single" w:color="auto"/>
          <w:color w:val="auto"/>
        </w:rPr>
        <w:t>subsections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below, as follows:</w:t>
      </w:r>
    </w:p>
    <w:p>
      <w:pPr>
        <w:spacing w:after="0" w:line="180" w:lineRule="exact"/>
        <w:rPr>
          <w:rFonts w:ascii="Times New Roman" w:cs="Times New Roman" w:eastAsia="Times New Roman" w:hAnsi="Times New Roman"/>
          <w:sz w:val="20"/>
          <w:szCs w:val="20"/>
          <w:color w:val="auto"/>
        </w:rPr>
      </w:pPr>
    </w:p>
    <w:p>
      <w:pPr>
        <w:jc w:val="both"/>
        <w:ind w:left="740" w:firstLine="754"/>
        <w:spacing w:after="0" w:line="250" w:lineRule="auto"/>
        <w:tabs>
          <w:tab w:leader="none" w:pos="1788" w:val="left"/>
        </w:tabs>
        <w:numPr>
          <w:ilvl w:val="1"/>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Size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Status</w:t>
      </w:r>
      <w:r>
        <w:rPr>
          <w:rFonts w:ascii="Times New Roman" w:cs="Times New Roman" w:eastAsia="Times New Roman" w:hAnsi="Times New Roman"/>
          <w:sz w:val="20"/>
          <w:szCs w:val="20"/>
          <w:color w:val="auto"/>
        </w:rPr>
        <w:t>. Borrower’s primary NAICS code is 541714 and has less than 83 employees in the aggregate (as determined in accordance with Title 13 Code of Federal Regulations Section 121.106) average receipts (as determined in accordance with Title 13 Code of Federal Regulations Section 121.104) less than $5,151,292 for its last three completed fiscal years;</w:t>
      </w:r>
    </w:p>
    <w:p>
      <w:pPr>
        <w:spacing w:after="0" w:line="179" w:lineRule="exact"/>
        <w:rPr>
          <w:rFonts w:ascii="Times New Roman" w:cs="Times New Roman" w:eastAsia="Times New Roman" w:hAnsi="Times New Roman"/>
          <w:sz w:val="20"/>
          <w:szCs w:val="20"/>
          <w:u w:val="single" w:color="auto"/>
          <w:color w:val="auto"/>
        </w:rPr>
      </w:pPr>
    </w:p>
    <w:p>
      <w:pPr>
        <w:jc w:val="both"/>
        <w:ind w:left="740" w:firstLine="754"/>
        <w:spacing w:after="0" w:line="254" w:lineRule="auto"/>
        <w:tabs>
          <w:tab w:leader="none" w:pos="1788" w:val="left"/>
        </w:tabs>
        <w:numPr>
          <w:ilvl w:val="1"/>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Relender. Borrower’s primary business activity does not involve, directly or indirectly, providing funds to others, purchasing debt obligations, factoring, or long-term leasing of equipment with no provision for maintenance or repair;</w:t>
      </w:r>
    </w:p>
    <w:p>
      <w:pPr>
        <w:spacing w:after="0" w:line="174" w:lineRule="exact"/>
        <w:rPr>
          <w:rFonts w:ascii="Times New Roman" w:cs="Times New Roman" w:eastAsia="Times New Roman" w:hAnsi="Times New Roman"/>
          <w:sz w:val="20"/>
          <w:szCs w:val="20"/>
          <w:u w:val="single" w:color="auto"/>
          <w:color w:val="auto"/>
        </w:rPr>
      </w:pPr>
    </w:p>
    <w:p>
      <w:pPr>
        <w:jc w:val="both"/>
        <w:ind w:left="740" w:firstLine="754"/>
        <w:spacing w:after="0" w:line="249" w:lineRule="auto"/>
        <w:tabs>
          <w:tab w:leader="none" w:pos="1788" w:val="left"/>
        </w:tabs>
        <w:numPr>
          <w:ilvl w:val="1"/>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Passive Business</w:t>
      </w:r>
      <w:r>
        <w:rPr>
          <w:rFonts w:ascii="Times New Roman" w:cs="Times New Roman" w:eastAsia="Times New Roman" w:hAnsi="Times New Roman"/>
          <w:sz w:val="20"/>
          <w:szCs w:val="20"/>
          <w:color w:val="auto"/>
        </w:rPr>
        <w:t>.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spacing w:after="0" w:line="179" w:lineRule="exact"/>
        <w:rPr>
          <w:rFonts w:ascii="Times New Roman" w:cs="Times New Roman" w:eastAsia="Times New Roman" w:hAnsi="Times New Roman"/>
          <w:sz w:val="20"/>
          <w:szCs w:val="20"/>
          <w:u w:val="single" w:color="auto"/>
          <w:color w:val="auto"/>
        </w:rPr>
      </w:pPr>
    </w:p>
    <w:p>
      <w:pPr>
        <w:jc w:val="both"/>
        <w:ind w:left="740" w:firstLine="754"/>
        <w:spacing w:after="0" w:line="241" w:lineRule="auto"/>
        <w:tabs>
          <w:tab w:leader="none" w:pos="1788" w:val="left"/>
        </w:tabs>
        <w:numPr>
          <w:ilvl w:val="1"/>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Real Estate Business.</w:t>
      </w:r>
      <w:r>
        <w:rPr>
          <w:rFonts w:ascii="Times New Roman" w:cs="Times New Roman" w:eastAsia="Times New Roman" w:hAnsi="Times New Roman"/>
          <w:sz w:val="20"/>
          <w:szCs w:val="20"/>
          <w:color w:val="auto"/>
        </w:rPr>
        <w:t xml:space="preserve"> 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spacing w:after="0" w:line="197" w:lineRule="exact"/>
        <w:rPr>
          <w:rFonts w:ascii="Times New Roman" w:cs="Times New Roman" w:eastAsia="Times New Roman" w:hAnsi="Times New Roman"/>
          <w:sz w:val="20"/>
          <w:szCs w:val="20"/>
          <w:u w:val="single" w:color="auto"/>
          <w:color w:val="auto"/>
        </w:rPr>
      </w:pPr>
    </w:p>
    <w:p>
      <w:pPr>
        <w:jc w:val="both"/>
        <w:ind w:left="740" w:firstLine="754"/>
        <w:spacing w:after="0" w:line="249" w:lineRule="auto"/>
        <w:tabs>
          <w:tab w:leader="none" w:pos="1788" w:val="left"/>
        </w:tabs>
        <w:numPr>
          <w:ilvl w:val="1"/>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Project Finance</w:t>
      </w:r>
      <w:r>
        <w:rPr>
          <w:rFonts w:ascii="Times New Roman" w:cs="Times New Roman" w:eastAsia="Times New Roman" w:hAnsi="Times New Roman"/>
          <w:sz w:val="20"/>
          <w:szCs w:val="20"/>
          <w:color w:val="auto"/>
        </w:rPr>
        <w:t>.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w:t>
      </w:r>
    </w:p>
    <w:p>
      <w:pPr>
        <w:spacing w:after="0" w:line="200" w:lineRule="exact"/>
        <w:rPr>
          <w:sz w:val="20"/>
          <w:szCs w:val="20"/>
          <w:color w:val="auto"/>
        </w:rPr>
      </w:pPr>
    </w:p>
    <w:p>
      <w:pPr>
        <w:spacing w:after="0" w:line="3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81" w:name="page82"/>
    <w:bookmarkEnd w:id="81"/>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Loan is not to fund production of a single item or defined limited number of items, generally over a defined production period, where such production will constitute the majority of the activities of Borrower (e.g., motion pictures and electric generating plants).</w:t>
      </w:r>
    </w:p>
    <w:p>
      <w:pPr>
        <w:spacing w:after="0" w:line="174" w:lineRule="exact"/>
        <w:rPr>
          <w:sz w:val="20"/>
          <w:szCs w:val="20"/>
          <w:color w:val="auto"/>
        </w:rPr>
      </w:pPr>
    </w:p>
    <w:p>
      <w:pPr>
        <w:jc w:val="both"/>
        <w:ind w:left="380" w:firstLine="754"/>
        <w:spacing w:after="0" w:line="254" w:lineRule="auto"/>
        <w:tabs>
          <w:tab w:leader="none" w:pos="1428" w:val="left"/>
        </w:tabs>
        <w:numPr>
          <w:ilvl w:val="1"/>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Farm Land Purchases</w:t>
      </w:r>
      <w:r>
        <w:rPr>
          <w:rFonts w:ascii="Times New Roman" w:cs="Times New Roman" w:eastAsia="Times New Roman" w:hAnsi="Times New Roman"/>
          <w:sz w:val="20"/>
          <w:szCs w:val="20"/>
          <w:color w:val="auto"/>
        </w:rPr>
        <w:t>. Borrower will not use the proceeds of the Loan to acquire farm land which is or is intended to be used for agricultural or forestry purposes, such as the production of food, fiber, or wood, or is so taxed or zoned.</w:t>
      </w:r>
    </w:p>
    <w:p>
      <w:pPr>
        <w:spacing w:after="0" w:line="174" w:lineRule="exact"/>
        <w:rPr>
          <w:rFonts w:ascii="Times New Roman" w:cs="Times New Roman" w:eastAsia="Times New Roman" w:hAnsi="Times New Roman"/>
          <w:sz w:val="20"/>
          <w:szCs w:val="20"/>
          <w:u w:val="single" w:color="auto"/>
          <w:color w:val="auto"/>
        </w:rPr>
      </w:pPr>
    </w:p>
    <w:p>
      <w:pPr>
        <w:jc w:val="both"/>
        <w:ind w:left="380" w:firstLine="754"/>
        <w:spacing w:after="0" w:line="249" w:lineRule="auto"/>
        <w:tabs>
          <w:tab w:leader="none" w:pos="1428" w:val="left"/>
        </w:tabs>
        <w:numPr>
          <w:ilvl w:val="1"/>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Foreign Investment</w:t>
      </w:r>
      <w:r>
        <w:rPr>
          <w:rFonts w:ascii="Times New Roman" w:cs="Times New Roman" w:eastAsia="Times New Roman" w:hAnsi="Times New Roman"/>
          <w:sz w:val="20"/>
          <w:szCs w:val="20"/>
          <w:color w:val="auto"/>
        </w:rPr>
        <w:t>. The proceeds of the Loan will not be used substantially for a foreign operation, passed through to a foreign business or used to acquire a foreign business. Borrower will not have, on or within one year after each SBA Funding Date and each other Loan provided by a Lender that is an SBIC more than 49 percent of its employees or tangible assets located outside the United States of America.</w:t>
      </w:r>
    </w:p>
    <w:p>
      <w:pPr>
        <w:spacing w:after="0" w:line="175" w:lineRule="exact"/>
        <w:rPr>
          <w:rFonts w:ascii="Times New Roman" w:cs="Times New Roman" w:eastAsia="Times New Roman" w:hAnsi="Times New Roman"/>
          <w:sz w:val="20"/>
          <w:szCs w:val="20"/>
          <w:u w:val="single" w:color="auto"/>
          <w:color w:val="auto"/>
        </w:rPr>
      </w:pPr>
    </w:p>
    <w:p>
      <w:pPr>
        <w:jc w:val="both"/>
        <w:ind w:left="-360" w:firstLine="745"/>
        <w:spacing w:after="0" w:line="244" w:lineRule="auto"/>
        <w:tabs>
          <w:tab w:leader="none" w:pos="9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Small Business Administration Documentation</w:t>
      </w:r>
      <w:r>
        <w:rPr>
          <w:rFonts w:ascii="Times New Roman" w:cs="Times New Roman" w:eastAsia="Times New Roman" w:hAnsi="Times New Roman"/>
          <w:sz w:val="20"/>
          <w:szCs w:val="20"/>
          <w:color w:val="auto"/>
        </w:rPr>
        <w:t>. Agent and Lenders acknowledge that Borrower completed,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executed and delivered to Agent prior to each SBA Funding Date SBA Forms 480, 652 and 1031 (Parts A and B) together with a business plan showing Borrower’s financial projections (including </w:t>
      </w:r>
      <w:r>
        <w:rPr>
          <w:rFonts w:ascii="Times New Roman" w:cs="Times New Roman" w:eastAsia="Times New Roman" w:hAnsi="Times New Roman"/>
          <w:sz w:val="21"/>
          <w:szCs w:val="21"/>
          <w:color w:val="auto"/>
        </w:rPr>
        <w:t>balance</w:t>
      </w:r>
      <w:r>
        <w:rPr>
          <w:rFonts w:ascii="Times New Roman" w:cs="Times New Roman" w:eastAsia="Times New Roman" w:hAnsi="Times New Roman"/>
          <w:sz w:val="20"/>
          <w:szCs w:val="20"/>
          <w:color w:val="auto"/>
        </w:rPr>
        <w:t xml:space="preserve"> sheets and income and cash flows statements) for the period described therein and a written statement (whether included in the purchase agreement or pursuant to a separate statement) from Agent regarding its intended use of proceeds from the sale of securities to Lenders (the “</w:t>
      </w:r>
      <w:r>
        <w:rPr>
          <w:rFonts w:ascii="Times New Roman" w:cs="Times New Roman" w:eastAsia="Times New Roman" w:hAnsi="Times New Roman"/>
          <w:sz w:val="20"/>
          <w:szCs w:val="20"/>
          <w:u w:val="single" w:color="auto"/>
          <w:color w:val="auto"/>
        </w:rPr>
        <w:t>Use of Proceeds Statement</w:t>
      </w:r>
      <w:r>
        <w:rPr>
          <w:rFonts w:ascii="Times New Roman" w:cs="Times New Roman" w:eastAsia="Times New Roman" w:hAnsi="Times New Roman"/>
          <w:sz w:val="20"/>
          <w:szCs w:val="20"/>
          <w:color w:val="auto"/>
        </w:rPr>
        <w:t>”). Borrower represents and warrants to Agent and Lenders that the information regarding Borrower and its affiliates set forth in the SBA Form 480, Form 652 and Form 1031 and the Use of Proceeds Statement delivered as of each SBA Funding Date is accurate and complete.</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9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Inspection</w:t>
      </w:r>
      <w:r>
        <w:rPr>
          <w:rFonts w:ascii="Times New Roman" w:cs="Times New Roman" w:eastAsia="Times New Roman" w:hAnsi="Times New Roman"/>
          <w:sz w:val="20"/>
          <w:szCs w:val="20"/>
          <w:color w:val="auto"/>
        </w:rPr>
        <w:t>. The following covenants contained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intended to supplement and not to restrict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provisions of the Loan Documents. Borrower will permit, for so long as Lenders hold any debt or equity securities of Borrower, Agent, Lenders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during normal business hours and upon reasonable notice as may be requested by Agent or Lenders or the SBA.</w:t>
      </w:r>
    </w:p>
    <w:p>
      <w:pPr>
        <w:spacing w:after="0" w:line="180"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9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Assessment</w:t>
      </w:r>
      <w:r>
        <w:rPr>
          <w:rFonts w:ascii="Times New Roman" w:cs="Times New Roman" w:eastAsia="Times New Roman" w:hAnsi="Times New Roman"/>
          <w:sz w:val="20"/>
          <w:szCs w:val="20"/>
          <w:color w:val="auto"/>
        </w:rPr>
        <w:t>. Upon request of Agent or Lender, promptly after the end of each calendar year (but in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event prior to February 28 of each year) and at such other times as may be reasonably requested by Agent or Lenders, Borrower will deliver to Agent a written assessment of the economic impact of Lenders’ investment in Borrower, specifying the full-time equivalent net jobs created and total jobs created or retained in connection with the investment, the impact of the investment on the revenues and profits of Borrower’s business and on taxes paid by Borrower and its employees, and such other information as may be required regarding Borrower in connection with the filing of Lenders’ SBA Form 468. Lenders will assist Borrower with preparing such assessment. In addition to any other rights granted hereunder, Borrower will grant Agent and Lenders and the SBA access to Borrower’s books and records for the purpose of verifying the use of such proceeds. Borrower also will furnish or cause to be furnished to Agent and Lenders such other information regarding the business, affairs and condition of Borrower as Agent or Lenders may from time to time reasonably request, and such information shall be certified by the President, Chief Executive Officer or Chief Financial Officer of Borrower to the extent requested by Agent or Lender for compliance with the SBIC Act.</w:t>
      </w:r>
    </w:p>
    <w:p>
      <w:pPr>
        <w:spacing w:after="0" w:line="200" w:lineRule="exact"/>
        <w:rPr>
          <w:sz w:val="20"/>
          <w:szCs w:val="20"/>
          <w:color w:val="auto"/>
        </w:rPr>
      </w:pP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2" w:name="page83"/>
    <w:bookmarkEnd w:id="82"/>
    <w:p>
      <w:pPr>
        <w:jc w:val="both"/>
        <w:ind w:left="-360" w:firstLine="745"/>
        <w:spacing w:after="0" w:line="245" w:lineRule="auto"/>
        <w:tabs>
          <w:tab w:leader="none" w:pos="9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Use of Proceeds. </w:t>
      </w:r>
      <w:r>
        <w:rPr>
          <w:rFonts w:ascii="Times New Roman" w:cs="Times New Roman" w:eastAsia="Times New Roman" w:hAnsi="Times New Roman"/>
          <w:sz w:val="20"/>
          <w:szCs w:val="20"/>
          <w:color w:val="auto"/>
        </w:rPr>
        <w:t>Borrower will use the proceeds from the Loan only for purposes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t>
      </w:r>
      <w:r>
        <w:rPr>
          <w:rFonts w:ascii="Times New Roman" w:cs="Times New Roman" w:eastAsia="Times New Roman" w:hAnsi="Times New Roman"/>
          <w:sz w:val="21"/>
          <w:szCs w:val="21"/>
          <w:color w:val="auto"/>
        </w:rPr>
        <w:t>will</w:t>
      </w:r>
      <w:r>
        <w:rPr>
          <w:rFonts w:ascii="Times New Roman" w:cs="Times New Roman" w:eastAsia="Times New Roman" w:hAnsi="Times New Roman"/>
          <w:sz w:val="20"/>
          <w:szCs w:val="20"/>
          <w:color w:val="auto"/>
        </w:rPr>
        <w:t xml:space="preserve"> permit Agent and Lenders and the SBA to have access to any and all Borrower records and information and personnel as Agent deems necessary to verify how such proceeds have been or are being used, and to assure that the proceeds have been used for the purposes specified in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360" w:firstLine="745"/>
        <w:spacing w:after="0" w:line="260" w:lineRule="auto"/>
        <w:tabs>
          <w:tab w:leader="none" w:pos="92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Activities and Proceeds</w:t>
      </w:r>
      <w:r>
        <w:rPr>
          <w:rFonts w:ascii="Times New Roman" w:cs="Times New Roman" w:eastAsia="Times New Roman" w:hAnsi="Times New Roman"/>
          <w:sz w:val="19"/>
          <w:szCs w:val="19"/>
          <w:color w:val="auto"/>
        </w:rPr>
        <w:t>. Neither Borrower nor any of its affiliates (if any) will engage in any activities or 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directly or indirectly the proceeds from the Loan for any purpose for which a small business investment company is prohibited from providing funds by the SBIC Act, including 13 C.F.R. §107.720. Borrower shall not, nor shall it cause or permit any of its subsidiaries to, without obtaining the prior written approval of Agent, change Borrower’s or any such subsidiary’s business activities from that conducted on the date hereof to a business activity from which a licensee under the SBIC Act is prohibited from providing funds by the SBIC Act. Borrower agrees that any such change in its or any such subsidiary’s business activities without such prior written consent of Agent shall constitute a material breach of the obligations of Borrower under this </w:t>
      </w:r>
      <w:r>
        <w:rPr>
          <w:rFonts w:ascii="Times New Roman" w:cs="Times New Roman" w:eastAsia="Times New Roman" w:hAnsi="Times New Roman"/>
          <w:sz w:val="19"/>
          <w:szCs w:val="19"/>
          <w:u w:val="single" w:color="auto"/>
          <w:color w:val="auto"/>
        </w:rPr>
        <w:t>Addendum 3</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left="-360" w:firstLine="745"/>
        <w:spacing w:after="0" w:line="244" w:lineRule="auto"/>
        <w:tabs>
          <w:tab w:leader="none" w:pos="9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Compliance and Resolution. </w:t>
      </w:r>
      <w:r>
        <w:rPr>
          <w:rFonts w:ascii="Times New Roman" w:cs="Times New Roman" w:eastAsia="Times New Roman" w:hAnsi="Times New Roman"/>
          <w:sz w:val="20"/>
          <w:szCs w:val="20"/>
          <w:color w:val="auto"/>
        </w:rPr>
        <w:t>Borrower agrees that a failure to comply with Borrower’s obligations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Addendum, or any other set of facts or circumstances where it has been asserted by any governmental regulatory agency (or Agent or Lenders believes that there is a substantial risk of such assertion) that Agent, Lenders and their affiliates are not entitled to hold, or exercise any significant right with respect to, any securities issued to Lenders by Borrower, will constitute a breach of the obligations of Borrower under the financing agreements among Borrower, Agent and Lenders. In the event of (i) a failure to comply with Borrower’s obligations under this Addendum; or (ii) an assertion by any governmental regulatory agency (or Agent or </w:t>
      </w:r>
      <w:r>
        <w:rPr>
          <w:rFonts w:ascii="Times New Roman" w:cs="Times New Roman" w:eastAsia="Times New Roman" w:hAnsi="Times New Roman"/>
          <w:sz w:val="21"/>
          <w:szCs w:val="21"/>
          <w:color w:val="auto"/>
        </w:rPr>
        <w:t xml:space="preserve">Lenders </w:t>
      </w:r>
      <w:r>
        <w:rPr>
          <w:rFonts w:ascii="Times New Roman" w:cs="Times New Roman" w:eastAsia="Times New Roman" w:hAnsi="Times New Roman"/>
          <w:sz w:val="19"/>
          <w:szCs w:val="19"/>
          <w:color w:val="auto"/>
        </w:rPr>
        <w:t>believe that there is a substantial risk of such assertion) of a failure to comply with Borrower’s obligations under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Addendum, then (i) Agent, Lenders and Borrower will meet and resolve any such issue in good faith to the satisfaction of Borrower, Agent, Lenders, and any governmental regulatory agency, and (ii) upon request of Lenders or Agent, Borrower will cooperate and assist with any assignment of the financing agreements among Hercules SBIC V, L.P. and Hercules Capital, Inc.</w:t>
      </w: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83" w:name="page84"/>
    <w:bookmarkEnd w:id="83"/>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ADDENDUM 4 to LOAN AND SECURITY AGREEMENT</w:t>
      </w:r>
    </w:p>
    <w:p>
      <w:pPr>
        <w:spacing w:after="0" w:line="21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Agent and Lender Terms</w:t>
      </w:r>
    </w:p>
    <w:p>
      <w:pPr>
        <w:spacing w:after="0" w:line="206" w:lineRule="exact"/>
        <w:rPr>
          <w:sz w:val="20"/>
          <w:szCs w:val="20"/>
          <w:color w:val="auto"/>
        </w:rPr>
      </w:pPr>
    </w:p>
    <w:p>
      <w:pPr>
        <w:jc w:val="both"/>
        <w:ind w:firstLine="745"/>
        <w:spacing w:after="0" w:line="243" w:lineRule="auto"/>
        <w:tabs>
          <w:tab w:leader="none" w:pos="1288" w:val="left"/>
        </w:tabs>
        <w:numPr>
          <w:ilvl w:val="0"/>
          <w:numId w:val="7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spacing w:after="0" w:line="182" w:lineRule="exact"/>
        <w:rPr>
          <w:rFonts w:ascii="Times New Roman" w:cs="Times New Roman" w:eastAsia="Times New Roman" w:hAnsi="Times New Roman"/>
          <w:sz w:val="21"/>
          <w:szCs w:val="21"/>
          <w:u w:val="single" w:color="auto"/>
          <w:color w:val="auto"/>
        </w:rPr>
      </w:pPr>
    </w:p>
    <w:p>
      <w:pPr>
        <w:jc w:val="both"/>
        <w:ind w:firstLine="745"/>
        <w:spacing w:after="0" w:line="234" w:lineRule="auto"/>
        <w:tabs>
          <w:tab w:leader="none" w:pos="1288"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w:t>
      </w:r>
    </w:p>
    <w:p>
      <w:pPr>
        <w:spacing w:after="0" w:line="200" w:lineRule="exact"/>
        <w:rPr>
          <w:sz w:val="20"/>
          <w:szCs w:val="20"/>
          <w:color w:val="auto"/>
        </w:rPr>
      </w:pPr>
    </w:p>
    <w:p>
      <w:pPr>
        <w:spacing w:after="0" w:line="3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4" w:right="339" w:bottom="1440" w:gutter="0" w:footer="0" w:header="0"/>
        </w:sectPr>
      </w:pPr>
    </w:p>
    <w:bookmarkStart w:id="84" w:name="page85"/>
    <w:bookmarkEnd w:id="84"/>
    <w:p>
      <w:pPr>
        <w:jc w:val="both"/>
        <w:spacing w:after="0" w:line="235" w:lineRule="auto"/>
        <w:rPr>
          <w:sz w:val="20"/>
          <w:szCs w:val="20"/>
          <w:color w:val="auto"/>
        </w:rPr>
      </w:pPr>
      <w:r>
        <w:rPr>
          <w:rFonts w:ascii="Times New Roman" w:cs="Times New Roman" w:eastAsia="Times New Roman" w:hAnsi="Times New Roman"/>
          <w:sz w:val="22"/>
          <w:szCs w:val="22"/>
          <w:color w:val="auto"/>
        </w:rPr>
        <w:t>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 “Lender” or “Lenders” or any similar term shall unless the context clearly indicates otherwise include Agent in its individual capacity.</w:t>
      </w:r>
    </w:p>
    <w:p>
      <w:pPr>
        <w:spacing w:after="0" w:line="183" w:lineRule="exact"/>
        <w:rPr>
          <w:sz w:val="20"/>
          <w:szCs w:val="20"/>
          <w:color w:val="auto"/>
        </w:rPr>
      </w:pPr>
    </w:p>
    <w:p>
      <w:pPr>
        <w:jc w:val="both"/>
        <w:ind w:firstLine="745"/>
        <w:spacing w:after="0" w:line="233" w:lineRule="auto"/>
        <w:tabs>
          <w:tab w:leader="none" w:pos="1288"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spacing w:after="0" w:line="179" w:lineRule="exact"/>
        <w:rPr>
          <w:rFonts w:ascii="Times New Roman" w:cs="Times New Roman" w:eastAsia="Times New Roman" w:hAnsi="Times New Roman"/>
          <w:sz w:val="22"/>
          <w:szCs w:val="22"/>
          <w:u w:val="single" w:color="auto"/>
          <w:color w:val="auto"/>
        </w:rPr>
      </w:pPr>
    </w:p>
    <w:p>
      <w:pPr>
        <w:jc w:val="both"/>
        <w:ind w:firstLine="745"/>
        <w:spacing w:after="0" w:line="234" w:lineRule="auto"/>
        <w:tabs>
          <w:tab w:leader="none" w:pos="1288"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w:t>
      </w:r>
      <w:r>
        <w:rPr>
          <w:rFonts w:ascii="Times New Roman" w:cs="Times New Roman" w:eastAsia="Times New Roman" w:hAnsi="Times New Roman"/>
          <w:sz w:val="22"/>
          <w:szCs w:val="22"/>
          <w:u w:val="single" w:color="auto"/>
          <w:color w:val="auto"/>
        </w:rPr>
        <w:t>Addendum 4</w:t>
      </w:r>
      <w:r>
        <w:rPr>
          <w:rFonts w:ascii="Times New Roman" w:cs="Times New Roman" w:eastAsia="Times New Roman" w:hAnsi="Times New Roman"/>
          <w:sz w:val="22"/>
          <w:szCs w:val="22"/>
          <w:color w:val="auto"/>
        </w:rPr>
        <w:t>,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w:t>
      </w:r>
    </w:p>
    <w:p>
      <w:pPr>
        <w:spacing w:after="0" w:line="183" w:lineRule="exact"/>
        <w:rPr>
          <w:rFonts w:ascii="Times New Roman" w:cs="Times New Roman" w:eastAsia="Times New Roman" w:hAnsi="Times New Roman"/>
          <w:sz w:val="22"/>
          <w:szCs w:val="22"/>
          <w:u w:val="single" w:color="auto"/>
          <w:color w:val="auto"/>
        </w:rPr>
      </w:pPr>
    </w:p>
    <w:p>
      <w:pPr>
        <w:jc w:val="both"/>
        <w:ind w:firstLine="745"/>
        <w:spacing w:after="0" w:line="244" w:lineRule="auto"/>
        <w:tabs>
          <w:tab w:leader="none" w:pos="1288"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To the extent not reimbursed either by Borrower or from the application of Collateral proceeds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a Lender (the “</w:t>
      </w:r>
      <w:r>
        <w:rPr>
          <w:rFonts w:ascii="Times New Roman" w:cs="Times New Roman" w:eastAsia="Times New Roman" w:hAnsi="Times New Roman"/>
          <w:sz w:val="22"/>
          <w:szCs w:val="22"/>
          <w:u w:val="single" w:color="auto"/>
          <w:color w:val="auto"/>
        </w:rPr>
        <w:t>Indemnified Lender</w:t>
      </w:r>
      <w:r>
        <w:rPr>
          <w:rFonts w:ascii="Times New Roman" w:cs="Times New Roman" w:eastAsia="Times New Roman" w:hAnsi="Times New Roman"/>
          <w:sz w:val="22"/>
          <w:szCs w:val="22"/>
          <w:color w:val="auto"/>
        </w:rPr>
        <w:t>”) shall be indemnified by the other Lender (an “</w:t>
      </w:r>
      <w:r>
        <w:rPr>
          <w:rFonts w:ascii="Times New Roman" w:cs="Times New Roman" w:eastAsia="Times New Roman" w:hAnsi="Times New Roman"/>
          <w:sz w:val="22"/>
          <w:szCs w:val="22"/>
          <w:u w:val="single" w:color="auto"/>
          <w:color w:val="auto"/>
        </w:rPr>
        <w:t>Indemnifying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on a several basis in proportion to each Lender’s pro rata portion of the Term Commitment, and each</w:t>
      </w:r>
    </w:p>
    <w:p>
      <w:pPr>
        <w:spacing w:after="0" w:line="200" w:lineRule="exact"/>
        <w:rPr>
          <w:sz w:val="20"/>
          <w:szCs w:val="20"/>
          <w:color w:val="auto"/>
        </w:rPr>
      </w:pP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85" w:name="page86"/>
    <w:bookmarkEnd w:id="85"/>
    <w:p>
      <w:pPr>
        <w:spacing w:after="0" w:line="258" w:lineRule="auto"/>
        <w:rPr>
          <w:sz w:val="20"/>
          <w:szCs w:val="20"/>
          <w:color w:val="auto"/>
        </w:rPr>
      </w:pPr>
      <w:r>
        <w:rPr>
          <w:rFonts w:ascii="Times New Roman" w:cs="Times New Roman" w:eastAsia="Times New Roman" w:hAnsi="Times New Roman"/>
          <w:sz w:val="22"/>
          <w:szCs w:val="22"/>
          <w:color w:val="auto"/>
        </w:rPr>
        <w:t>Indemnifying Lender agrees to reimburse the Indemnified Lender for the Indemnifying Lender’s pro rata share of the following items (an “</w:t>
      </w:r>
      <w:r>
        <w:rPr>
          <w:rFonts w:ascii="Times New Roman" w:cs="Times New Roman" w:eastAsia="Times New Roman" w:hAnsi="Times New Roman"/>
          <w:sz w:val="22"/>
          <w:szCs w:val="22"/>
          <w:u w:val="single" w:color="auto"/>
          <w:color w:val="auto"/>
        </w:rPr>
        <w:t>Indemnified Payment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40" w:firstLine="754"/>
        <w:spacing w:after="0" w:line="236" w:lineRule="auto"/>
        <w:tabs>
          <w:tab w:leader="none" w:pos="178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out-of-pocket costs and expenses of the Indemnified Lender incurred by the Indemnified Lender in connection with the discharge of its activities under this Agreement or the Loan Agreement, including reasonable legal expenses and attorneys’ fees; provided,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spacing w:after="0" w:line="181" w:lineRule="exact"/>
        <w:rPr>
          <w:rFonts w:ascii="Times New Roman" w:cs="Times New Roman" w:eastAsia="Times New Roman" w:hAnsi="Times New Roman"/>
          <w:sz w:val="22"/>
          <w:szCs w:val="22"/>
          <w:color w:val="auto"/>
        </w:rPr>
      </w:pPr>
    </w:p>
    <w:p>
      <w:pPr>
        <w:jc w:val="both"/>
        <w:ind w:left="740" w:firstLine="754"/>
        <w:spacing w:after="0" w:line="239" w:lineRule="auto"/>
        <w:tabs>
          <w:tab w:leader="none" w:pos="178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against any and all liabilities, obligations, losses, damages, penalties, actions, judgments, suits, costs, expenses or disbursements of any kind or nature whatsoever, which may be imposed on, incurred by or asserted against the Indemnified Lender in any way relating to or arising out of this Agreement, or any action taken or omitted by the Indemnified Lender hereunder;</w:t>
      </w:r>
    </w:p>
    <w:p>
      <w:pPr>
        <w:spacing w:after="0" w:line="180" w:lineRule="exact"/>
        <w:rPr>
          <w:sz w:val="20"/>
          <w:szCs w:val="20"/>
          <w:color w:val="auto"/>
        </w:rPr>
      </w:pPr>
    </w:p>
    <w:p>
      <w:pPr>
        <w:jc w:val="both"/>
        <w:ind w:left="740"/>
        <w:spacing w:after="0" w:line="239" w:lineRule="auto"/>
        <w:rPr>
          <w:sz w:val="20"/>
          <w:szCs w:val="20"/>
          <w:color w:val="auto"/>
        </w:rPr>
      </w:pPr>
      <w:r>
        <w:rPr>
          <w:rFonts w:ascii="Times New Roman" w:cs="Times New Roman" w:eastAsia="Times New Roman" w:hAnsi="Times New Roman"/>
          <w:sz w:val="22"/>
          <w:szCs w:val="22"/>
          <w:color w:val="auto"/>
        </w:rPr>
        <w:t xml:space="preserve">provided, however, that the Indemnified Lender shall not be reimbursed or indemnified for an Indemnified Payment, except to the extent that the Indemnified Lender paid more than its ratable share of such payment. All Indemnified Payments as set forth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to an Indemnified Lender are intended to be paid ratably by the other Lender.</w:t>
      </w:r>
    </w:p>
    <w:p>
      <w:pPr>
        <w:spacing w:after="0" w:line="180" w:lineRule="exact"/>
        <w:rPr>
          <w:sz w:val="20"/>
          <w:szCs w:val="20"/>
          <w:color w:val="auto"/>
        </w:rPr>
      </w:pPr>
    </w:p>
    <w:p>
      <w:pPr>
        <w:jc w:val="both"/>
        <w:ind w:firstLine="745"/>
        <w:spacing w:after="0" w:line="239" w:lineRule="auto"/>
        <w:tabs>
          <w:tab w:leader="none" w:pos="1288"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Agent in Its Individual Capacity</w:t>
      </w:r>
      <w:r>
        <w:rPr>
          <w:rFonts w:ascii="Times New Roman" w:cs="Times New Roman" w:eastAsia="Times New Roman" w:hAnsi="Times New Roman"/>
          <w:sz w:val="22"/>
          <w:szCs w:val="22"/>
          <w:color w:val="auto"/>
        </w:rPr>
        <w:t>.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w:t>
      </w:r>
    </w:p>
    <w:p>
      <w:pPr>
        <w:spacing w:after="0" w:line="180" w:lineRule="exact"/>
        <w:rPr>
          <w:rFonts w:ascii="Times New Roman" w:cs="Times New Roman" w:eastAsia="Times New Roman" w:hAnsi="Times New Roman"/>
          <w:sz w:val="22"/>
          <w:szCs w:val="22"/>
          <w:u w:val="single" w:color="auto"/>
          <w:color w:val="auto"/>
        </w:rPr>
      </w:pPr>
    </w:p>
    <w:p>
      <w:pPr>
        <w:ind w:firstLine="745"/>
        <w:spacing w:after="0" w:line="258" w:lineRule="auto"/>
        <w:tabs>
          <w:tab w:leader="none" w:pos="1288" w:val="left"/>
        </w:tabs>
        <w:numPr>
          <w:ilvl w:val="0"/>
          <w:numId w:val="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Agent shall have no duties or obligations except those expressly set forth herein and in the other Loan Documents. Without limiting the generality of the foregoing, Agent shall not:</w:t>
      </w:r>
    </w:p>
    <w:p>
      <w:pPr>
        <w:spacing w:after="0" w:line="158" w:lineRule="exact"/>
        <w:rPr>
          <w:rFonts w:ascii="Times New Roman" w:cs="Times New Roman" w:eastAsia="Times New Roman" w:hAnsi="Times New Roman"/>
          <w:sz w:val="22"/>
          <w:szCs w:val="22"/>
          <w:u w:val="single" w:color="auto"/>
          <w:color w:val="auto"/>
        </w:rPr>
      </w:pPr>
    </w:p>
    <w:p>
      <w:pPr>
        <w:ind w:left="1860" w:hanging="366"/>
        <w:spacing w:after="0" w:line="258" w:lineRule="auto"/>
        <w:tabs>
          <w:tab w:leader="none" w:pos="18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subject to any fiduciary, advisory or other implied duties, regardless of whether any Default or any Event of Default has occurred and is continuing;</w:t>
      </w:r>
    </w:p>
    <w:p>
      <w:pPr>
        <w:spacing w:after="0" w:line="158" w:lineRule="exact"/>
        <w:rPr>
          <w:rFonts w:ascii="Times New Roman" w:cs="Times New Roman" w:eastAsia="Times New Roman" w:hAnsi="Times New Roman"/>
          <w:sz w:val="22"/>
          <w:szCs w:val="22"/>
          <w:color w:val="auto"/>
        </w:rPr>
      </w:pPr>
    </w:p>
    <w:p>
      <w:pPr>
        <w:jc w:val="both"/>
        <w:ind w:left="1860" w:hanging="366"/>
        <w:spacing w:after="0" w:line="238" w:lineRule="auto"/>
        <w:tabs>
          <w:tab w:leader="none" w:pos="18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duty to take any discretionary action or exercise any discretionary powers, except discretionary rights and powers expressly contemplated hereby or by the other Loan Documents that Agent is required to exercise as directed in writing by Lenders, provided that Agent shall not be required to take any action that, in its opinion or the opinion of its counsel, may expose Agent to liability or that is contrary to any Loan Document or applicable law; and</w:t>
      </w:r>
    </w:p>
    <w:p>
      <w:pPr>
        <w:spacing w:after="0" w:line="176" w:lineRule="exact"/>
        <w:rPr>
          <w:rFonts w:ascii="Times New Roman" w:cs="Times New Roman" w:eastAsia="Times New Roman" w:hAnsi="Times New Roman"/>
          <w:sz w:val="22"/>
          <w:szCs w:val="22"/>
          <w:color w:val="auto"/>
        </w:rPr>
      </w:pPr>
    </w:p>
    <w:p>
      <w:pPr>
        <w:ind w:left="1860" w:hanging="366"/>
        <w:spacing w:after="0" w:line="258" w:lineRule="auto"/>
        <w:tabs>
          <w:tab w:leader="none" w:pos="18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and in the other Loan Documents, have any duty to disclose, and Agent shall not be liable for the failure to</w:t>
      </w:r>
    </w:p>
    <w:p>
      <w:pPr>
        <w:spacing w:after="0" w:line="200" w:lineRule="exact"/>
        <w:rPr>
          <w:sz w:val="20"/>
          <w:szCs w:val="20"/>
          <w:color w:val="auto"/>
        </w:rPr>
      </w:pPr>
    </w:p>
    <w:p>
      <w:pPr>
        <w:spacing w:after="0" w:line="3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86" w:name="page87"/>
    <w:bookmarkEnd w:id="86"/>
    <w:p>
      <w:pPr>
        <w:ind w:left="1860"/>
        <w:spacing w:after="0" w:line="258" w:lineRule="auto"/>
        <w:rPr>
          <w:sz w:val="20"/>
          <w:szCs w:val="20"/>
          <w:color w:val="auto"/>
        </w:rPr>
      </w:pPr>
      <w:r>
        <w:rPr>
          <w:rFonts w:ascii="Times New Roman" w:cs="Times New Roman" w:eastAsia="Times New Roman" w:hAnsi="Times New Roman"/>
          <w:sz w:val="22"/>
          <w:szCs w:val="22"/>
          <w:color w:val="auto"/>
        </w:rPr>
        <w:t>disclose, any information relating to Borrower or any of its Affiliates that is communicated to or obtained by any Person serving as Agent or any of its Affiliates in any capacity.</w:t>
      </w:r>
    </w:p>
    <w:p>
      <w:pPr>
        <w:spacing w:after="0" w:line="158" w:lineRule="exact"/>
        <w:rPr>
          <w:sz w:val="20"/>
          <w:szCs w:val="20"/>
          <w:color w:val="auto"/>
        </w:rPr>
      </w:pPr>
    </w:p>
    <w:p>
      <w:pPr>
        <w:jc w:val="both"/>
        <w:ind w:firstLine="745"/>
        <w:spacing w:after="0" w:line="239" w:lineRule="auto"/>
        <w:tabs>
          <w:tab w:leader="none" w:pos="1288" w:val="left"/>
        </w:tabs>
        <w:numPr>
          <w:ilvl w:val="0"/>
          <w:numId w:val="8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spacing w:after="0" w:line="180" w:lineRule="exact"/>
        <w:rPr>
          <w:rFonts w:ascii="Times New Roman" w:cs="Times New Roman" w:eastAsia="Times New Roman" w:hAnsi="Times New Roman"/>
          <w:sz w:val="22"/>
          <w:szCs w:val="22"/>
          <w:u w:val="single" w:color="auto"/>
          <w:color w:val="auto"/>
        </w:rPr>
      </w:pPr>
    </w:p>
    <w:p>
      <w:pPr>
        <w:jc w:val="both"/>
        <w:ind w:firstLine="745"/>
        <w:spacing w:after="0" w:line="238" w:lineRule="auto"/>
        <w:tabs>
          <w:tab w:leader="none" w:pos="1288" w:val="left"/>
        </w:tabs>
        <w:numPr>
          <w:ilvl w:val="0"/>
          <w:numId w:val="8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attorneys-in-fact selected by it, if the selection of such agents or attorneys-in-fact was done without gross negligence or willful misconduct.</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Each Lender agrees that it will make its own independent investigation of the financial condition and affairs of Borrower in connection with the making of Term Loan Advances pursuant to the Loan Agreement and has made and shall continue to make its own appraisal of the creditworthiness of Borrower. Neither Agent nor any Lender shall have any duty or responsibility either initially or on a continuing basis to make any such investigation or any such appraisal on 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87" w:name="page88"/>
    <w:bookmarkEnd w:id="87"/>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ADDENDUM 5 to LOAN AND SECURITY AGREEMENT</w:t>
      </w:r>
    </w:p>
    <w:p>
      <w:pPr>
        <w:spacing w:after="0" w:line="21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Multiple Borrower Terms</w:t>
      </w:r>
    </w:p>
    <w:p>
      <w:pPr>
        <w:spacing w:after="0" w:line="206" w:lineRule="exact"/>
        <w:rPr>
          <w:sz w:val="20"/>
          <w:szCs w:val="20"/>
          <w:color w:val="auto"/>
        </w:rPr>
      </w:pPr>
    </w:p>
    <w:p>
      <w:pPr>
        <w:jc w:val="both"/>
        <w:ind w:firstLine="1494"/>
        <w:spacing w:after="0" w:line="246" w:lineRule="auto"/>
        <w:tabs>
          <w:tab w:leader="none" w:pos="192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Agent. Each Borrower hereby irrevocably appoints Company as its agent, attorney-in-fact and legal representative for all purposes under the Loan Documents, including requesting disbursement of the Term Loan and receiving account statements and other notices and communications to Borrower (or any of them) from the Agent or any Lender (in such capacity, “</w:t>
      </w:r>
      <w:r>
        <w:rPr>
          <w:rFonts w:ascii="Times New Roman" w:cs="Times New Roman" w:eastAsia="Times New Roman" w:hAnsi="Times New Roman"/>
          <w:sz w:val="21"/>
          <w:szCs w:val="21"/>
          <w:u w:val="single" w:color="auto"/>
          <w:color w:val="auto"/>
        </w:rPr>
        <w:t>Borrower Agent</w:t>
      </w:r>
      <w:r>
        <w:rPr>
          <w:rFonts w:ascii="Times New Roman" w:cs="Times New Roman" w:eastAsia="Times New Roman" w:hAnsi="Times New Roman"/>
          <w:sz w:val="21"/>
          <w:szCs w:val="21"/>
          <w:color w:val="auto"/>
        </w:rPr>
        <w:t>”). The Agent may rely, and shall be fully protected in relying, on any request for the Term Loan, disbursement instruction, report, information or any other notice or communication made or given by Company,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spacing w:after="0" w:line="175" w:lineRule="exact"/>
        <w:rPr>
          <w:rFonts w:ascii="Times New Roman" w:cs="Times New Roman" w:eastAsia="Times New Roman" w:hAnsi="Times New Roman"/>
          <w:sz w:val="21"/>
          <w:szCs w:val="21"/>
          <w:color w:val="auto"/>
        </w:rPr>
      </w:pPr>
    </w:p>
    <w:p>
      <w:pPr>
        <w:jc w:val="both"/>
        <w:ind w:firstLine="1494"/>
        <w:spacing w:after="0" w:line="243" w:lineRule="auto"/>
        <w:tabs>
          <w:tab w:leader="none" w:pos="192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(other than contingent obligations for which no Claim has been made) have been paid, performed, and discharged in full, nothing shall discharge or satisfy the liability of any Borrower hereunder except the full performance and payment of all of the Secured Obligations (other than contingent obligations for which no Claim has been made). If any claim is ever made upon the Agent for repayment or recovery of any amount or amounts received by the Agent in payment of or on account of any of the Secured Obligations, because of any claim that any such payment constituted a preferential transfer or fraudulent conveyance, or for any other reason whatsoever, and the Agent repays all or part of said amount by reason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4" w:right="339" w:bottom="1440" w:gutter="0" w:footer="0" w:header="0"/>
        </w:sectPr>
      </w:pPr>
    </w:p>
    <w:bookmarkStart w:id="88" w:name="page89"/>
    <w:bookmarkEnd w:id="88"/>
    <w:p>
      <w:pPr>
        <w:jc w:val="both"/>
        <w:ind w:left="3"/>
        <w:spacing w:after="0" w:line="232" w:lineRule="auto"/>
        <w:rPr>
          <w:sz w:val="20"/>
          <w:szCs w:val="20"/>
          <w:color w:val="auto"/>
        </w:rPr>
      </w:pPr>
      <w:r>
        <w:rPr>
          <w:rFonts w:ascii="Times New Roman" w:cs="Times New Roman" w:eastAsia="Times New Roman" w:hAnsi="Times New Roman"/>
          <w:sz w:val="22"/>
          <w:szCs w:val="22"/>
          <w:color w:val="auto"/>
        </w:rPr>
        <w:t>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the Agent and the Lenders 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 in each case until the Secured Obligations have been repaid in full.</w:t>
      </w:r>
    </w:p>
    <w:p>
      <w:pPr>
        <w:spacing w:after="0" w:line="191" w:lineRule="exact"/>
        <w:rPr>
          <w:sz w:val="20"/>
          <w:szCs w:val="20"/>
          <w:color w:val="auto"/>
        </w:rPr>
      </w:pPr>
    </w:p>
    <w:p>
      <w:pPr>
        <w:jc w:val="both"/>
        <w:ind w:left="3" w:firstLine="1494"/>
        <w:spacing w:after="0" w:line="249" w:lineRule="auto"/>
        <w:tabs>
          <w:tab w:leader="none" w:pos="1933"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w:t>
      </w:r>
    </w:p>
    <w:p>
      <w:pPr>
        <w:spacing w:after="0" w:line="1" w:lineRule="exact"/>
        <w:rPr>
          <w:rFonts w:ascii="Times New Roman" w:cs="Times New Roman" w:eastAsia="Times New Roman" w:hAnsi="Times New Roman"/>
          <w:sz w:val="21"/>
          <w:szCs w:val="21"/>
          <w:color w:val="auto"/>
        </w:rPr>
      </w:pPr>
    </w:p>
    <w:p>
      <w:pPr>
        <w:jc w:val="both"/>
        <w:ind w:left="3" w:hanging="3"/>
        <w:spacing w:after="0" w:line="241" w:lineRule="auto"/>
        <w:tabs>
          <w:tab w:leader="none" w:pos="27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w:t>
      </w:r>
    </w:p>
    <w:p>
      <w:pPr>
        <w:spacing w:after="0" w:line="1" w:lineRule="exact"/>
        <w:rPr>
          <w:rFonts w:ascii="Times New Roman" w:cs="Times New Roman" w:eastAsia="Times New Roman" w:hAnsi="Times New Roman"/>
          <w:sz w:val="21"/>
          <w:szCs w:val="21"/>
          <w:color w:val="auto"/>
        </w:rPr>
      </w:pPr>
    </w:p>
    <w:p>
      <w:pPr>
        <w:jc w:val="both"/>
        <w:ind w:left="3" w:hanging="3"/>
        <w:spacing w:after="0" w:line="242" w:lineRule="auto"/>
        <w:tabs>
          <w:tab w:leader="none" w:pos="431"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and (v) apply any sums received from any other Borrower, any guarantor, endorser, or co-signer, or from the disposition of any Collateral or security, to any Indebtedness whatsoever owing from such person or secured by such Collateral or security, in such manner and order as the Agent determines in its sole discretion, and regardless of whether such Indebtedness is part of the Secured Obligations, is secured, or is due and payable. Each Borrower consents and agrees that the Agent shall be under no obligation to marshal any assets in favor of Borrower, or against or in payment of any or all of the Secured Obligations. Each Borrower further consents and agrees that</w:t>
      </w:r>
    </w:p>
    <w:p>
      <w:pPr>
        <w:spacing w:after="0" w:line="200" w:lineRule="exact"/>
        <w:rPr>
          <w:sz w:val="20"/>
          <w:szCs w:val="20"/>
          <w:color w:val="auto"/>
        </w:rPr>
      </w:pPr>
    </w:p>
    <w:p>
      <w:pPr>
        <w:spacing w:after="0" w:line="39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89" w:name="page90"/>
    <w:bookmarkEnd w:id="89"/>
    <w:p>
      <w:pPr>
        <w:jc w:val="both"/>
        <w:spacing w:after="0" w:line="239" w:lineRule="auto"/>
        <w:rPr>
          <w:sz w:val="20"/>
          <w:szCs w:val="20"/>
          <w:color w:val="auto"/>
        </w:rPr>
      </w:pPr>
      <w:r>
        <w:rPr>
          <w:rFonts w:ascii="Times New Roman" w:cs="Times New Roman" w:eastAsia="Times New Roman" w:hAnsi="Times New Roman"/>
          <w:sz w:val="22"/>
          <w:szCs w:val="22"/>
          <w:color w:val="auto"/>
        </w:rPr>
        <w:t>the Agent shall have no duties or responsibilities whatsoever with respect to any property securing any or all of the Secured Obligations. Without limiting the generality of the foregoing, the Agent shall have no obligation to monitor, verify, audit, examine, or obtain or maintain any insurance with respect to, any property securing any or all of the Secured Obligations.</w:t>
      </w:r>
    </w:p>
    <w:p>
      <w:pPr>
        <w:spacing w:after="0" w:line="180" w:lineRule="exact"/>
        <w:rPr>
          <w:sz w:val="20"/>
          <w:szCs w:val="20"/>
          <w:color w:val="auto"/>
        </w:rPr>
      </w:pPr>
    </w:p>
    <w:p>
      <w:pPr>
        <w:jc w:val="both"/>
        <w:ind w:firstLine="1494"/>
        <w:spacing w:after="0" w:line="234"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the Agent to furnish to it any information now or hereafter in the Agent’s possession concerning the same or any other matter.</w:t>
      </w:r>
    </w:p>
    <w:p>
      <w:pPr>
        <w:spacing w:after="0" w:line="179" w:lineRule="exact"/>
        <w:rPr>
          <w:rFonts w:ascii="Times New Roman" w:cs="Times New Roman" w:eastAsia="Times New Roman" w:hAnsi="Times New Roman"/>
          <w:sz w:val="22"/>
          <w:szCs w:val="22"/>
          <w:color w:val="auto"/>
        </w:rPr>
      </w:pPr>
    </w:p>
    <w:p>
      <w:pPr>
        <w:jc w:val="both"/>
        <w:ind w:firstLine="1494"/>
        <w:spacing w:after="0" w:line="247" w:lineRule="auto"/>
        <w:tabs>
          <w:tab w:leader="none" w:pos="192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Subordination. All Indebtedness of a Borrower or any Subsidiary of a Borrower now or hereafter arising held by another Borrower or Subsidiary of a Borrower is subordinated to the Secured Obligations and Borrower holding the Indebtedness shall take all actions reasonably requested by Agent to effect, to enforce and to give notice of such subordination and to dispose of any such Indebtedness if the Agent is enforcing over shares in the capital of a Borrower or any Subsidiary or holding company of a Borrower, or if the Indebtedness is held by a Subsidiary of a Borrower, such Borrower shall take all actions reasonably requested by Agent to cause that Borrower to effect, to enforce and to give notice of such subordination and to permit the Agent to dispose of any such Indebtedness if the Agent is enforcing over shares in the capital of a Borrower or any Subsidiary or holding company of a Borrower.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ADVANCE REQUEST</w:t>
      </w:r>
    </w:p>
    <w:p>
      <w:pPr>
        <w:spacing w:after="0" w:line="224" w:lineRule="exact"/>
        <w:rPr>
          <w:sz w:val="20"/>
          <w:szCs w:val="20"/>
          <w:color w:val="auto"/>
        </w:rPr>
      </w:pPr>
    </w:p>
    <w:p>
      <w:pPr>
        <w:ind w:left="100"/>
        <w:spacing w:after="0"/>
        <w:tabs>
          <w:tab w:leader="none" w:pos="1160" w:val="left"/>
          <w:tab w:leader="none" w:pos="7880" w:val="left"/>
          <w:tab w:leader="none" w:pos="87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Agent:</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 20[ ]</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Hercules Capital, Inc. (the “Agent”)</w:t>
      </w:r>
    </w:p>
    <w:p>
      <w:pPr>
        <w:ind w:left="1180"/>
        <w:spacing w:after="0" w:line="232" w:lineRule="auto"/>
        <w:rPr>
          <w:sz w:val="20"/>
          <w:szCs w:val="20"/>
          <w:color w:val="auto"/>
        </w:rPr>
      </w:pPr>
      <w:r>
        <w:rPr>
          <w:rFonts w:ascii="Times New Roman" w:cs="Times New Roman" w:eastAsia="Times New Roman" w:hAnsi="Times New Roman"/>
          <w:sz w:val="22"/>
          <w:szCs w:val="22"/>
          <w:color w:val="auto"/>
        </w:rPr>
        <w:t>Legal Department</w:t>
      </w:r>
    </w:p>
    <w:p>
      <w:pPr>
        <w:ind w:left="1180"/>
        <w:spacing w:after="0" w:line="230" w:lineRule="auto"/>
        <w:rPr>
          <w:sz w:val="20"/>
          <w:szCs w:val="20"/>
          <w:color w:val="auto"/>
        </w:rPr>
      </w:pPr>
      <w:r>
        <w:rPr>
          <w:rFonts w:ascii="Times New Roman" w:cs="Times New Roman" w:eastAsia="Times New Roman" w:hAnsi="Times New Roman"/>
          <w:sz w:val="22"/>
          <w:szCs w:val="22"/>
          <w:color w:val="auto"/>
        </w:rPr>
        <w:t>Attention: Chief Legal Officer, Bryan Jadot and Jeff Ralto</w:t>
      </w:r>
    </w:p>
    <w:p>
      <w:pPr>
        <w:ind w:left="1180"/>
        <w:spacing w:after="0" w:line="231" w:lineRule="auto"/>
        <w:rPr>
          <w:sz w:val="20"/>
          <w:szCs w:val="20"/>
          <w:color w:val="auto"/>
        </w:rPr>
      </w:pPr>
      <w:r>
        <w:rPr>
          <w:rFonts w:ascii="Times New Roman" w:cs="Times New Roman" w:eastAsia="Times New Roman" w:hAnsi="Times New Roman"/>
          <w:sz w:val="22"/>
          <w:szCs w:val="22"/>
          <w:color w:val="auto"/>
        </w:rPr>
        <w:t>1 North B Street, Suite 2000</w:t>
      </w:r>
    </w:p>
    <w:p>
      <w:pPr>
        <w:ind w:left="1180"/>
        <w:spacing w:after="0" w:line="230" w:lineRule="auto"/>
        <w:rPr>
          <w:sz w:val="20"/>
          <w:szCs w:val="20"/>
          <w:color w:val="auto"/>
        </w:rPr>
      </w:pPr>
      <w:r>
        <w:rPr>
          <w:rFonts w:ascii="Times New Roman" w:cs="Times New Roman" w:eastAsia="Times New Roman" w:hAnsi="Times New Roman"/>
          <w:sz w:val="22"/>
          <w:szCs w:val="22"/>
          <w:color w:val="auto"/>
        </w:rPr>
        <w:t>San Mateo, CA 94401</w:t>
      </w:r>
    </w:p>
    <w:p>
      <w:pPr>
        <w:ind w:left="118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1180"/>
        <w:spacing w:after="0"/>
        <w:rPr>
          <w:sz w:val="20"/>
          <w:szCs w:val="20"/>
          <w:color w:val="auto"/>
        </w:rPr>
      </w:pPr>
      <w:r>
        <w:rPr>
          <w:rFonts w:ascii="Times New Roman" w:cs="Times New Roman" w:eastAsia="Times New Roman" w:hAnsi="Times New Roman"/>
          <w:sz w:val="22"/>
          <w:szCs w:val="22"/>
          <w:color w:val="auto"/>
        </w:rPr>
        <w:t>Telephone: [***]</w:t>
      </w:r>
    </w:p>
    <w:p>
      <w:pPr>
        <w:spacing w:after="0" w:line="2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Disc Medicine, Inc., a Delaware corporation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other Person that has delivered a Joinder Agreement pursuant to Section 7.13 from time to time party to the Agreement (together with Company, individually or collectively, as the context may require,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hereby requests Agent to cause Lenders to make a[n] [[Tranche 1-[A][B][C]] [Tranche 2] [Tranche 3] [Tranche 4]] Advance in the amount of _____________________ Dollars ($________________) (the “</w:t>
      </w:r>
      <w:r>
        <w:rPr>
          <w:rFonts w:ascii="Times New Roman" w:cs="Times New Roman" w:eastAsia="Times New Roman" w:hAnsi="Times New Roman"/>
          <w:sz w:val="22"/>
          <w:szCs w:val="22"/>
          <w:u w:val="single" w:color="auto"/>
          <w:color w:val="auto"/>
        </w:rPr>
        <w:t>Advance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on ______________, _____ (the “</w:t>
      </w:r>
      <w:r>
        <w:rPr>
          <w:rFonts w:ascii="Times New Roman" w:cs="Times New Roman" w:eastAsia="Times New Roman" w:hAnsi="Times New Roman"/>
          <w:sz w:val="21"/>
          <w:szCs w:val="21"/>
          <w:u w:val="single" w:color="auto"/>
          <w:color w:val="auto"/>
        </w:rPr>
        <w:t>Advance Date</w:t>
      </w:r>
      <w:r>
        <w:rPr>
          <w:rFonts w:ascii="Times New Roman" w:cs="Times New Roman" w:eastAsia="Times New Roman" w:hAnsi="Times New Roman"/>
          <w:sz w:val="21"/>
          <w:szCs w:val="21"/>
          <w:color w:val="auto"/>
        </w:rPr>
        <w:t>”) pursuant to the Loan and Security Agreement among Company and</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its Subsidiaries from time to time party thereto, as Borrowers, Agent and Lenders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words and other terms used but not otherwise defined herein are used with the same meanings as defined in the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w:t>
      </w:r>
    </w:p>
    <w:p>
      <w:pPr>
        <w:spacing w:after="0" w:line="206"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Issue a check payable to Borrower ______</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or</w:t>
      </w:r>
    </w:p>
    <w:p>
      <w:pPr>
        <w:sectPr>
          <w:pgSz w:w="11900" w:h="16838" w:orient="portrait"/>
          <w:cols w:equalWidth="0" w:num="1">
            <w:col w:w="11240"/>
          </w:cols>
          <w:pgMar w:left="320" w:top="1404" w:right="339" w:bottom="1440" w:gutter="0" w:footer="0" w:header="0"/>
        </w:sectPr>
      </w:pP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 Wire Funds to Borrower’s account SECURITY PURPOSES]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 [IF FILED PUBLICLY, ACCOUNT INFO REDACTED FOR</w:t>
      </w:r>
    </w:p>
    <w:p>
      <w:pPr>
        <w:spacing w:after="0" w:line="474" w:lineRule="exact"/>
        <w:rPr>
          <w:sz w:val="20"/>
          <w:szCs w:val="20"/>
          <w:color w:val="auto"/>
        </w:rPr>
      </w:pPr>
    </w:p>
    <w:p>
      <w:pPr>
        <w:sectPr>
          <w:pgSz w:w="11900" w:h="16838" w:orient="portrait"/>
          <w:cols w:equalWidth="0" w:num="2">
            <w:col w:w="4180" w:space="460"/>
            <w:col w:w="6600"/>
          </w:cols>
          <w:pgMar w:left="320" w:top="1404"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22"/>
          <w:szCs w:val="22"/>
          <w:color w:val="auto"/>
        </w:rPr>
        <w:t>Bank:</w:t>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Address:</w:t>
      </w:r>
    </w:p>
    <w:p>
      <w:pPr>
        <w:spacing w:after="0" w:line="2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ABA Number:</w:t>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Account Number:</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Account Name:</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Contact Person:</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Phone Number</w:t>
      </w:r>
    </w:p>
    <w:p>
      <w:pPr>
        <w:spacing w:after="0" w:line="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To Verify Wire Info:</w:t>
      </w:r>
    </w:p>
    <w:p>
      <w:pPr>
        <w:spacing w:after="0" w:line="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Email address:</w:t>
      </w:r>
    </w:p>
    <w:p>
      <w:pPr>
        <w:sectPr>
          <w:pgSz w:w="11900" w:h="16838" w:orient="portrait"/>
          <w:cols w:equalWidth="0" w:num="1">
            <w:col w:w="11240"/>
          </w:cols>
          <w:pgMar w:left="320" w:top="1404" w:right="339" w:bottom="1440" w:gutter="0" w:footer="0" w:header="0"/>
          <w:type w:val="continuous"/>
        </w:sectPr>
      </w:pPr>
    </w:p>
    <w:p>
      <w:pPr>
        <w:spacing w:after="0" w:line="23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Borrower represents that the conditions precedent to the Advance set forth in the Agreement are satisfied and shall be satisfied upon the making of such Advance, including but not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91" w:name="page92"/>
    <w:bookmarkEnd w:id="91"/>
    <w:p>
      <w:pPr>
        <w:jc w:val="both"/>
        <w:spacing w:after="0" w:line="234" w:lineRule="auto"/>
        <w:rPr>
          <w:sz w:val="20"/>
          <w:szCs w:val="20"/>
          <w:color w:val="auto"/>
        </w:rPr>
      </w:pPr>
      <w:r>
        <w:rPr>
          <w:rFonts w:ascii="Times New Roman" w:cs="Times New Roman" w:eastAsia="Times New Roman" w:hAnsi="Times New Roman"/>
          <w:sz w:val="22"/>
          <w:szCs w:val="22"/>
          <w:color w:val="auto"/>
        </w:rPr>
        <w:t>limited to: (i) that no event that has had or could reasonably be expected to have a Material Adverse Effect has occurred and is continuing; (ii) the representations and warranties set forth in the Agreement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Default or Event of Default has occurred and is continuing under the Loan Documents. Borrower understands and acknowledges that Agent has the right to review the financial information supporting this representation and, based upon such review, the Lender may decline to fund the requested Advance if the conditions specified in the Agreement have not been satisfied at such time.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Borrower hereby represents that Borrower’s corporate status and locations set forth on Exhibit B to the Loan Agreement have not changed since the date of the Agreement (or if applicable, the date of the last update to Exhibit B delivered by Borrower) or, if the table in the Attachment to this Advance Request is completed, are as set forth in the Attachment to this Advance Request.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Borrower hereby represents that the information set forth in the Attachment hereto is correct.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Executed as of [</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 ].</w:t>
            </w:r>
          </w:p>
        </w:tc>
      </w:tr>
    </w:tbl>
    <w:p>
      <w:pPr>
        <w:spacing w:after="0" w:line="19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BORROWER:</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DISC MEDICINE, INC.</w:t>
      </w:r>
      <w:r>
        <w:rPr>
          <w:rFonts w:ascii="Times New Roman" w:cs="Times New Roman" w:eastAsia="Times New Roman" w:hAnsi="Times New Roman"/>
          <w:sz w:val="22"/>
          <w:szCs w:val="22"/>
          <w:color w:val="auto"/>
        </w:rPr>
        <w:t>, as Borrower Agent</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Print Name:</w:t>
      </w: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390"/>
        </w:trPr>
        <w:tc>
          <w:tcPr>
            <w:tcW w:w="3300" w:type="dxa"/>
            <w:vAlign w:val="bottom"/>
          </w:tcPr>
          <w:p>
            <w:pPr>
              <w:spacing w:after="0"/>
              <w:rPr>
                <w:sz w:val="24"/>
                <w:szCs w:val="24"/>
                <w:color w:val="auto"/>
              </w:rPr>
            </w:pPr>
          </w:p>
        </w:tc>
        <w:tc>
          <w:tcPr>
            <w:tcW w:w="794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ATTACHMENT TO ADVANCE REQUEST </w:t>
            </w:r>
            <w:r>
              <w:rPr>
                <w:rFonts w:ascii="Times New Roman" w:cs="Times New Roman" w:eastAsia="Times New Roman" w:hAnsi="Times New Roman"/>
                <w:sz w:val="28"/>
                <w:szCs w:val="28"/>
                <w:b w:val="1"/>
                <w:bCs w:val="1"/>
                <w:color w:val="auto"/>
                <w:vertAlign w:val="superscript"/>
              </w:rPr>
              <w:t>2</w:t>
            </w:r>
          </w:p>
        </w:tc>
      </w:tr>
      <w:tr>
        <w:trPr>
          <w:trHeight w:val="355"/>
        </w:trPr>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Dated: _______________</w:t>
            </w:r>
          </w:p>
        </w:tc>
        <w:tc>
          <w:tcPr>
            <w:tcW w:w="3740" w:type="dxa"/>
            <w:vAlign w:val="bottom"/>
          </w:tcPr>
          <w:p>
            <w:pPr>
              <w:spacing w:after="0"/>
              <w:rPr>
                <w:sz w:val="24"/>
                <w:szCs w:val="24"/>
                <w:color w:val="auto"/>
              </w:rPr>
            </w:pPr>
          </w:p>
        </w:tc>
      </w:tr>
      <w:tr>
        <w:trPr>
          <w:trHeight w:val="221"/>
        </w:trPr>
        <w:tc>
          <w:tcPr>
            <w:tcW w:w="3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r>
        <w:trPr>
          <w:trHeight w:val="264"/>
        </w:trPr>
        <w:tc>
          <w:tcPr>
            <w:tcW w:w="3300" w:type="dxa"/>
            <w:vAlign w:val="bottom"/>
            <w:tcBorders>
              <w:left w:val="single" w:sz="8" w:color="auto"/>
              <w:bottom w:val="single" w:sz="8" w:color="auto"/>
            </w:tcBorders>
          </w:tcPr>
          <w:p>
            <w:pPr>
              <w:ind w:left="120"/>
              <w:spacing w:after="0" w:line="244" w:lineRule="exact"/>
              <w:rPr>
                <w:sz w:val="20"/>
                <w:szCs w:val="20"/>
                <w:color w:val="auto"/>
              </w:rPr>
            </w:pPr>
            <w:r>
              <w:rPr>
                <w:rFonts w:ascii="Times New Roman" w:cs="Times New Roman" w:eastAsia="Times New Roman" w:hAnsi="Times New Roman"/>
                <w:sz w:val="22"/>
                <w:szCs w:val="22"/>
                <w:color w:val="auto"/>
              </w:rPr>
              <w:t>Borrower:</w:t>
            </w:r>
          </w:p>
        </w:tc>
        <w:tc>
          <w:tcPr>
            <w:tcW w:w="5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3740" w:type="dxa"/>
            <w:vAlign w:val="bottom"/>
            <w:tcBorders>
              <w:bottom w:val="single" w:sz="8" w:color="auto"/>
              <w:right w:val="single" w:sz="8" w:color="auto"/>
            </w:tcBorders>
          </w:tcPr>
          <w:p>
            <w:pPr>
              <w:ind w:left="100"/>
              <w:spacing w:after="0" w:line="244" w:lineRule="exact"/>
              <w:rPr>
                <w:sz w:val="20"/>
                <w:szCs w:val="20"/>
                <w:color w:val="auto"/>
              </w:rPr>
            </w:pPr>
            <w:r>
              <w:rPr>
                <w:rFonts w:ascii="Times New Roman" w:cs="Times New Roman" w:eastAsia="Times New Roman" w:hAnsi="Times New Roman"/>
                <w:sz w:val="22"/>
                <w:szCs w:val="22"/>
                <w:color w:val="auto"/>
              </w:rPr>
              <w:t>Disc Medicine Opco, Inc.</w:t>
            </w:r>
          </w:p>
        </w:tc>
      </w:tr>
      <w:tr>
        <w:trPr>
          <w:trHeight w:val="247"/>
        </w:trPr>
        <w:tc>
          <w:tcPr>
            <w:tcW w:w="3300" w:type="dxa"/>
            <w:vAlign w:val="bottom"/>
            <w:tcBorders>
              <w:left w:val="single" w:sz="8" w:color="auto"/>
              <w:bottom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Name:</w:t>
            </w:r>
          </w:p>
        </w:tc>
        <w:tc>
          <w:tcPr>
            <w:tcW w:w="50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60"/>
              <w:spacing w:after="0" w:line="247" w:lineRule="exact"/>
              <w:rPr>
                <w:sz w:val="20"/>
                <w:szCs w:val="20"/>
                <w:color w:val="auto"/>
              </w:rPr>
            </w:pPr>
            <w:r>
              <w:rPr>
                <w:rFonts w:ascii="Times New Roman" w:cs="Times New Roman" w:eastAsia="Times New Roman" w:hAnsi="Times New Roman"/>
                <w:sz w:val="22"/>
                <w:szCs w:val="22"/>
                <w:color w:val="auto"/>
              </w:rPr>
              <w:t>Disc Medicine, Inc.</w:t>
            </w:r>
          </w:p>
        </w:tc>
        <w:tc>
          <w:tcPr>
            <w:tcW w:w="374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Disc Medicine Opco, Inc.</w:t>
            </w:r>
          </w:p>
        </w:tc>
      </w:tr>
      <w:tr>
        <w:trPr>
          <w:trHeight w:val="26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Type of organization:</w:t>
            </w:r>
          </w:p>
        </w:tc>
        <w:tc>
          <w:tcPr>
            <w:tcW w:w="5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Corporation</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Corporation</w:t>
            </w:r>
          </w:p>
        </w:tc>
      </w:tr>
      <w:tr>
        <w:trPr>
          <w:trHeight w:val="26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State of organization:</w:t>
            </w:r>
          </w:p>
        </w:tc>
        <w:tc>
          <w:tcPr>
            <w:tcW w:w="5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64"/>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Organization file number:</w:t>
            </w:r>
          </w:p>
        </w:tc>
        <w:tc>
          <w:tcPr>
            <w:tcW w:w="5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3130802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6575325</w:t>
            </w:r>
          </w:p>
        </w:tc>
      </w:tr>
      <w:tr>
        <w:trPr>
          <w:trHeight w:val="223"/>
        </w:trPr>
        <w:tc>
          <w:tcPr>
            <w:tcW w:w="330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Location of chief executive office:</w:t>
            </w:r>
          </w:p>
        </w:tc>
        <w:tc>
          <w:tcPr>
            <w:tcW w:w="50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r>
      <w:tr>
        <w:trPr>
          <w:trHeight w:val="283"/>
        </w:trPr>
        <w:tc>
          <w:tcPr>
            <w:tcW w:w="330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Watertown, Middlesex, MA, 02472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Watertown, Middlesex, MA, 02472</w:t>
            </w:r>
          </w:p>
        </w:tc>
      </w:tr>
    </w:tbl>
    <w:p>
      <w:pPr>
        <w:spacing w:after="0" w:line="21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color w:val="auto"/>
        </w:rPr>
        <w:t>Borrower hereby represents and warrants to Agent that the Advance Amount does not exceed the Maximum Term Loan Amount as follows:</w:t>
      </w:r>
    </w:p>
    <w:p>
      <w:pPr>
        <w:ind w:left="440" w:hanging="432"/>
        <w:spacing w:after="0" w:line="232" w:lineRule="auto"/>
        <w:tabs>
          <w:tab w:leader="none" w:pos="4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 Amount: $________________</w:t>
      </w:r>
    </w:p>
    <w:p>
      <w:pPr>
        <w:ind w:left="440" w:hanging="432"/>
        <w:spacing w:after="0" w:line="230" w:lineRule="auto"/>
        <w:tabs>
          <w:tab w:leader="none" w:pos="4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Term Loan Amount: $________________]</w:t>
      </w:r>
    </w:p>
    <w:p>
      <w:pPr>
        <w:spacing w:after="0" w:line="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Is clause a. less than or equal to clause b.? Yes/Compliant _______ No/Non-Compliant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168846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400" w:lineRule="exact"/>
        <w:rPr>
          <w:sz w:val="20"/>
          <w:szCs w:val="20"/>
          <w:color w:val="auto"/>
        </w:rPr>
      </w:pPr>
    </w:p>
    <w:p>
      <w:pPr>
        <w:ind w:left="120" w:hanging="112"/>
        <w:spacing w:after="0"/>
        <w:tabs>
          <w:tab w:leader="none" w:pos="120" w:val="left"/>
        </w:tabs>
        <w:numPr>
          <w:ilvl w:val="0"/>
          <w:numId w:val="8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Borrower to update this table with any changed information before submitting Advance Request.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LOCATIONS, AND OTHER INFORMATION FOR BORROWER</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3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Borrower:</w:t>
            </w:r>
          </w:p>
        </w:tc>
        <w:tc>
          <w:tcPr>
            <w:tcW w:w="37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w:t>
            </w:r>
          </w:p>
        </w:tc>
        <w:tc>
          <w:tcPr>
            <w:tcW w:w="37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Disc Medicine Opco, Inc.</w:t>
            </w:r>
          </w:p>
        </w:tc>
      </w:tr>
      <w:tr>
        <w:trPr>
          <w:trHeight w:val="247"/>
        </w:trPr>
        <w:tc>
          <w:tcPr>
            <w:tcW w:w="378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Name:</w:t>
            </w:r>
          </w:p>
        </w:tc>
        <w:tc>
          <w:tcPr>
            <w:tcW w:w="372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Disc Medicine, Inc.</w:t>
            </w:r>
          </w:p>
        </w:tc>
        <w:tc>
          <w:tcPr>
            <w:tcW w:w="374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Disc Medicine Opco, Inc.</w:t>
            </w:r>
          </w:p>
        </w:tc>
      </w:tr>
      <w:tr>
        <w:trPr>
          <w:trHeight w:val="26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Type of organization:</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Corporation</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Corporation</w:t>
            </w:r>
          </w:p>
        </w:tc>
      </w:tr>
      <w:tr>
        <w:trPr>
          <w:trHeight w:val="26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State of organization:</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Organization file number: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3130802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6575325</w:t>
            </w:r>
          </w:p>
        </w:tc>
      </w:tr>
      <w:tr>
        <w:trPr>
          <w:trHeight w:val="264"/>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Tax identification number: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85-1612845</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82-3220679</w:t>
            </w:r>
          </w:p>
        </w:tc>
      </w:tr>
      <w:tr>
        <w:trPr>
          <w:trHeight w:val="223"/>
        </w:trPr>
        <w:tc>
          <w:tcPr>
            <w:tcW w:w="37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Location of chief executive office:</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r>
      <w:tr>
        <w:trPr>
          <w:trHeight w:val="283"/>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Watertown, Middlesex, MA, 02472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Watertown, Middlesex, MA, 02472</w:t>
            </w:r>
          </w:p>
        </w:tc>
      </w:tr>
      <w:tr>
        <w:trPr>
          <w:trHeight w:val="264"/>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Last day of Borrower’s fiscal year: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31</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December 31</w:t>
            </w:r>
          </w:p>
        </w:tc>
      </w:tr>
      <w:tr>
        <w:trPr>
          <w:trHeight w:val="223"/>
        </w:trPr>
        <w:tc>
          <w:tcPr>
            <w:tcW w:w="37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Other legal name of Borrower during</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Hindsite Acquisition Corp. (6/25/2020 –</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Disc Medicine, Inc.</w:t>
            </w:r>
          </w:p>
        </w:tc>
      </w:tr>
      <w:tr>
        <w:trPr>
          <w:trHeight w:val="243"/>
        </w:trPr>
        <w:tc>
          <w:tcPr>
            <w:tcW w:w="37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five (5) year period before Closing Date,</w:t>
            </w: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6/29/2020)</w:t>
            </w:r>
          </w:p>
        </w:tc>
        <w:tc>
          <w:tcPr>
            <w:tcW w:w="3740" w:type="dxa"/>
            <w:vAlign w:val="bottom"/>
            <w:tcBorders>
              <w:right w:val="single" w:sz="8" w:color="auto"/>
            </w:tcBorders>
          </w:tcPr>
          <w:p>
            <w:pPr>
              <w:spacing w:after="0"/>
              <w:rPr>
                <w:sz w:val="21"/>
                <w:szCs w:val="21"/>
                <w:color w:val="auto"/>
              </w:rPr>
            </w:pPr>
          </w:p>
        </w:tc>
      </w:tr>
      <w:tr>
        <w:trPr>
          <w:trHeight w:val="243"/>
        </w:trPr>
        <w:tc>
          <w:tcPr>
            <w:tcW w:w="37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including dates of use:</w:t>
            </w: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FS Development Corp. (6/30/2020 –</w:t>
            </w:r>
          </w:p>
        </w:tc>
        <w:tc>
          <w:tcPr>
            <w:tcW w:w="3740" w:type="dxa"/>
            <w:vAlign w:val="bottom"/>
            <w:tcBorders>
              <w:right w:val="single" w:sz="8" w:color="auto"/>
            </w:tcBorders>
          </w:tcPr>
          <w:p>
            <w:pPr>
              <w:spacing w:after="0"/>
              <w:rPr>
                <w:sz w:val="21"/>
                <w:szCs w:val="21"/>
                <w:color w:val="auto"/>
              </w:rPr>
            </w:pPr>
          </w:p>
        </w:tc>
      </w:tr>
      <w:tr>
        <w:trPr>
          <w:trHeight w:val="243"/>
        </w:trPr>
        <w:tc>
          <w:tcPr>
            <w:tcW w:w="378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2/4/2021)</w:t>
            </w:r>
          </w:p>
        </w:tc>
        <w:tc>
          <w:tcPr>
            <w:tcW w:w="3740" w:type="dxa"/>
            <w:vAlign w:val="bottom"/>
            <w:tcBorders>
              <w:right w:val="single" w:sz="8" w:color="auto"/>
            </w:tcBorders>
          </w:tcPr>
          <w:p>
            <w:pPr>
              <w:spacing w:after="0"/>
              <w:rPr>
                <w:sz w:val="21"/>
                <w:szCs w:val="21"/>
                <w:color w:val="auto"/>
              </w:rPr>
            </w:pPr>
          </w:p>
        </w:tc>
      </w:tr>
      <w:tr>
        <w:trPr>
          <w:trHeight w:val="243"/>
        </w:trPr>
        <w:tc>
          <w:tcPr>
            <w:tcW w:w="378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Gemini Therapeutics, Inc. (2/5/2021 –</w:t>
            </w:r>
          </w:p>
        </w:tc>
        <w:tc>
          <w:tcPr>
            <w:tcW w:w="3740" w:type="dxa"/>
            <w:vAlign w:val="bottom"/>
            <w:tcBorders>
              <w:right w:val="single" w:sz="8" w:color="auto"/>
            </w:tcBorders>
          </w:tcPr>
          <w:p>
            <w:pPr>
              <w:spacing w:after="0"/>
              <w:rPr>
                <w:sz w:val="21"/>
                <w:szCs w:val="21"/>
                <w:color w:val="auto"/>
              </w:rPr>
            </w:pPr>
          </w:p>
        </w:tc>
      </w:tr>
      <w:tr>
        <w:trPr>
          <w:trHeight w:val="283"/>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12/29/2022)</w:t>
            </w: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37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Other type of organization of Borrower</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37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during five (5) year period before</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37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Other state of organization of Borrower</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37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during five (5) year period before</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37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Other organization file number of</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378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Borrower during five (5) year period</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3"/>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before 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965"/>
        </w:trPr>
        <w:tc>
          <w:tcPr>
            <w:tcW w:w="3780" w:type="dxa"/>
            <w:vAlign w:val="bottom"/>
          </w:tcPr>
          <w:p>
            <w:pPr>
              <w:spacing w:after="0"/>
              <w:rPr>
                <w:sz w:val="24"/>
                <w:szCs w:val="24"/>
                <w:color w:val="auto"/>
              </w:rPr>
            </w:pPr>
          </w:p>
        </w:tc>
        <w:tc>
          <w:tcPr>
            <w:tcW w:w="37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Exhibit B-1</w:t>
            </w:r>
          </w:p>
        </w:tc>
        <w:tc>
          <w:tcPr>
            <w:tcW w:w="3740" w:type="dxa"/>
            <w:vAlign w:val="bottom"/>
          </w:tcPr>
          <w:p>
            <w:pPr>
              <w:spacing w:after="0"/>
              <w:rPr>
                <w:sz w:val="24"/>
                <w:szCs w:val="24"/>
                <w:color w:val="auto"/>
              </w:rPr>
            </w:pPr>
          </w:p>
        </w:tc>
      </w:tr>
      <w:tr>
        <w:trPr>
          <w:trHeight w:val="900"/>
        </w:trPr>
        <w:tc>
          <w:tcPr>
            <w:tcW w:w="37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1"/>
          <w:szCs w:val="21"/>
          <w:b w:val="1"/>
          <w:bCs w:val="1"/>
          <w:color w:val="auto"/>
        </w:rPr>
        <w:t>EXHIBIT C</w:t>
      </w:r>
    </w:p>
    <w:p>
      <w:pPr>
        <w:sectPr>
          <w:pgSz w:w="11900" w:h="16838" w:orient="portrait"/>
          <w:cols w:equalWidth="0" w:num="1">
            <w:col w:w="9019"/>
          </w:cols>
          <w:pgMar w:left="1440" w:top="1404" w:right="1440"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1171575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bookmarkStart w:id="95" w:name="page96"/>
    <w:bookmarkEnd w:id="95"/>
    <w:tbl>
      <w:tblPr>
        <w:tblLayout w:type="fixed"/>
        <w:tblInd w:w="10" w:type="dxa"/>
        <w:tblCellMar>
          <w:top w:w="0" w:type="dxa"/>
          <w:left w:w="0" w:type="dxa"/>
          <w:bottom w:w="0" w:type="dxa"/>
          <w:right w:w="0" w:type="dxa"/>
        </w:tblCellMar>
      </w:tblPr>
      <w:tr>
        <w:trPr>
          <w:trHeight w:val="286"/>
        </w:trPr>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D</w:t>
            </w:r>
          </w:p>
        </w:tc>
        <w:tc>
          <w:tcPr>
            <w:tcW w:w="10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59"/>
        </w:trPr>
        <w:tc>
          <w:tcPr>
            <w:tcW w:w="1980" w:type="dxa"/>
            <w:vAlign w:val="bottom"/>
          </w:tcPr>
          <w:p>
            <w:pPr>
              <w:spacing w:after="0"/>
              <w:rPr>
                <w:sz w:val="24"/>
                <w:szCs w:val="24"/>
                <w:color w:val="auto"/>
              </w:rPr>
            </w:pPr>
          </w:p>
        </w:tc>
        <w:tc>
          <w:tcPr>
            <w:tcW w:w="6540" w:type="dxa"/>
            <w:vAlign w:val="bottom"/>
            <w:gridSpan w:val="4"/>
          </w:tcPr>
          <w:p>
            <w:pPr>
              <w:jc w:val="center"/>
              <w:ind w:left="633"/>
              <w:spacing w:after="0"/>
              <w:rPr>
                <w:sz w:val="20"/>
                <w:szCs w:val="20"/>
                <w:color w:val="auto"/>
              </w:rPr>
            </w:pPr>
            <w:r>
              <w:rPr>
                <w:rFonts w:ascii="Times New Roman" w:cs="Times New Roman" w:eastAsia="Times New Roman" w:hAnsi="Times New Roman"/>
                <w:sz w:val="22"/>
                <w:szCs w:val="22"/>
                <w:b w:val="1"/>
                <w:bCs w:val="1"/>
                <w:color w:val="auto"/>
                <w:w w:val="98"/>
              </w:rPr>
              <w:t>DEPOSIT ACCOUNTS AND SECURITIES ACCOUNTS</w:t>
            </w:r>
          </w:p>
        </w:tc>
        <w:tc>
          <w:tcPr>
            <w:tcW w:w="2720" w:type="dxa"/>
            <w:vAlign w:val="bottom"/>
          </w:tcPr>
          <w:p>
            <w:pPr>
              <w:spacing w:after="0"/>
              <w:rPr>
                <w:sz w:val="24"/>
                <w:szCs w:val="24"/>
                <w:color w:val="auto"/>
              </w:rPr>
            </w:pPr>
          </w:p>
        </w:tc>
      </w:tr>
      <w:tr>
        <w:trPr>
          <w:trHeight w:val="241"/>
        </w:trPr>
        <w:tc>
          <w:tcPr>
            <w:tcW w:w="1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82"/>
        </w:trPr>
        <w:tc>
          <w:tcPr>
            <w:tcW w:w="1980" w:type="dxa"/>
            <w:vAlign w:val="bottom"/>
            <w:tcBorders>
              <w:left w:val="single" w:sz="8" w:color="auto"/>
              <w:right w:val="single" w:sz="8" w:color="auto"/>
            </w:tcBorders>
          </w:tcPr>
          <w:p>
            <w:pPr>
              <w:ind w:left="540"/>
              <w:spacing w:after="0" w:line="182" w:lineRule="exact"/>
              <w:rPr>
                <w:sz w:val="20"/>
                <w:szCs w:val="20"/>
                <w:color w:val="auto"/>
              </w:rPr>
            </w:pPr>
            <w:r>
              <w:rPr>
                <w:rFonts w:ascii="Times New Roman" w:cs="Times New Roman" w:eastAsia="Times New Roman" w:hAnsi="Times New Roman"/>
                <w:sz w:val="21"/>
                <w:szCs w:val="21"/>
                <w:b w:val="1"/>
                <w:bCs w:val="1"/>
                <w:color w:val="auto"/>
              </w:rPr>
              <w:t>Borrower</w:t>
            </w:r>
          </w:p>
        </w:tc>
        <w:tc>
          <w:tcPr>
            <w:tcW w:w="1880" w:type="dxa"/>
            <w:vAlign w:val="bottom"/>
            <w:tcBorders>
              <w:right w:val="single" w:sz="8" w:color="auto"/>
            </w:tcBorders>
          </w:tcPr>
          <w:p>
            <w:pPr>
              <w:jc w:val="center"/>
              <w:ind w:right="13"/>
              <w:spacing w:after="0" w:line="182" w:lineRule="exact"/>
              <w:rPr>
                <w:sz w:val="20"/>
                <w:szCs w:val="20"/>
                <w:color w:val="auto"/>
              </w:rPr>
            </w:pPr>
            <w:r>
              <w:rPr>
                <w:rFonts w:ascii="Times New Roman" w:cs="Times New Roman" w:eastAsia="Times New Roman" w:hAnsi="Times New Roman"/>
                <w:sz w:val="21"/>
                <w:szCs w:val="21"/>
                <w:b w:val="1"/>
                <w:bCs w:val="1"/>
                <w:color w:val="auto"/>
              </w:rPr>
              <w:t>Type of Account</w:t>
            </w:r>
          </w:p>
        </w:tc>
        <w:tc>
          <w:tcPr>
            <w:tcW w:w="1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Purpose of</w:t>
            </w:r>
          </w:p>
        </w:tc>
        <w:tc>
          <w:tcPr>
            <w:tcW w:w="1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Account</w:t>
            </w:r>
          </w:p>
        </w:tc>
        <w:tc>
          <w:tcPr>
            <w:tcW w:w="10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Excluded</w:t>
            </w:r>
          </w:p>
        </w:tc>
        <w:tc>
          <w:tcPr>
            <w:tcW w:w="27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Name and Address of</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(Deposit,</w:t>
            </w:r>
          </w:p>
        </w:tc>
        <w:tc>
          <w:tcPr>
            <w:tcW w:w="18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Account</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Number</w:t>
            </w:r>
          </w:p>
        </w:tc>
        <w:tc>
          <w:tcPr>
            <w:tcW w:w="10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27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Financial Institution</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8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2720" w:type="dxa"/>
            <w:vAlign w:val="bottom"/>
            <w:tcBorders>
              <w:right w:val="single" w:sz="8" w:color="auto"/>
            </w:tcBorders>
          </w:tcPr>
          <w:p>
            <w:pPr>
              <w:spacing w:after="0"/>
              <w:rPr>
                <w:sz w:val="21"/>
                <w:szCs w:val="21"/>
                <w:color w:val="auto"/>
              </w:rPr>
            </w:pP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(Yes /</w:t>
            </w:r>
          </w:p>
        </w:tc>
        <w:tc>
          <w:tcPr>
            <w:tcW w:w="2720" w:type="dxa"/>
            <w:vAlign w:val="bottom"/>
            <w:tcBorders>
              <w:right w:val="single" w:sz="8" w:color="auto"/>
            </w:tcBorders>
          </w:tcPr>
          <w:p>
            <w:pPr>
              <w:spacing w:after="0"/>
              <w:rPr>
                <w:sz w:val="21"/>
                <w:szCs w:val="21"/>
                <w:color w:val="auto"/>
              </w:rPr>
            </w:pPr>
          </w:p>
        </w:tc>
      </w:tr>
      <w:tr>
        <w:trPr>
          <w:trHeight w:val="305"/>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No)</w:t>
            </w:r>
          </w:p>
        </w:tc>
        <w:tc>
          <w:tcPr>
            <w:tcW w:w="2720" w:type="dxa"/>
            <w:vAlign w:val="bottom"/>
            <w:tcBorders>
              <w:bottom w:val="single" w:sz="8" w:color="auto"/>
              <w:right w:val="single" w:sz="8" w:color="auto"/>
            </w:tcBorders>
          </w:tcPr>
          <w:p>
            <w:pPr>
              <w:spacing w:after="0"/>
              <w:rPr>
                <w:sz w:val="24"/>
                <w:szCs w:val="24"/>
                <w:color w:val="auto"/>
              </w:rPr>
            </w:pPr>
          </w:p>
        </w:tc>
      </w:tr>
      <w:tr>
        <w:trPr>
          <w:trHeight w:val="247"/>
        </w:trPr>
        <w:tc>
          <w:tcPr>
            <w:tcW w:w="198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4"/>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89"/>
        </w:trPr>
        <w:tc>
          <w:tcPr>
            <w:tcW w:w="1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spacing w:after="0"/>
              <w:rPr>
                <w:sz w:val="24"/>
                <w:szCs w:val="24"/>
                <w:color w:val="auto"/>
              </w:rPr>
            </w:pPr>
          </w:p>
        </w:tc>
      </w:tr>
      <w:tr>
        <w:trPr>
          <w:trHeight w:val="182"/>
        </w:trPr>
        <w:tc>
          <w:tcPr>
            <w:tcW w:w="1980" w:type="dxa"/>
            <w:vAlign w:val="bottom"/>
            <w:tcBorders>
              <w:left w:val="single" w:sz="8" w:color="auto"/>
              <w:right w:val="single" w:sz="8" w:color="auto"/>
            </w:tcBorders>
          </w:tcPr>
          <w:p>
            <w:pPr>
              <w:ind w:left="480"/>
              <w:spacing w:after="0" w:line="182" w:lineRule="exact"/>
              <w:rPr>
                <w:sz w:val="20"/>
                <w:szCs w:val="20"/>
                <w:color w:val="auto"/>
              </w:rPr>
            </w:pPr>
            <w:r>
              <w:rPr>
                <w:rFonts w:ascii="Times New Roman" w:cs="Times New Roman" w:eastAsia="Times New Roman" w:hAnsi="Times New Roman"/>
                <w:sz w:val="21"/>
                <w:szCs w:val="21"/>
                <w:b w:val="1"/>
                <w:bCs w:val="1"/>
                <w:color w:val="auto"/>
              </w:rPr>
              <w:t>Subsidiary</w:t>
            </w:r>
          </w:p>
        </w:tc>
        <w:tc>
          <w:tcPr>
            <w:tcW w:w="1880" w:type="dxa"/>
            <w:vAlign w:val="bottom"/>
            <w:tcBorders>
              <w:right w:val="single" w:sz="8" w:color="auto"/>
            </w:tcBorders>
          </w:tcPr>
          <w:p>
            <w:pPr>
              <w:jc w:val="center"/>
              <w:ind w:right="13"/>
              <w:spacing w:after="0" w:line="182" w:lineRule="exact"/>
              <w:rPr>
                <w:sz w:val="20"/>
                <w:szCs w:val="20"/>
                <w:color w:val="auto"/>
              </w:rPr>
            </w:pPr>
            <w:r>
              <w:rPr>
                <w:rFonts w:ascii="Times New Roman" w:cs="Times New Roman" w:eastAsia="Times New Roman" w:hAnsi="Times New Roman"/>
                <w:sz w:val="21"/>
                <w:szCs w:val="21"/>
                <w:b w:val="1"/>
                <w:bCs w:val="1"/>
                <w:color w:val="auto"/>
              </w:rPr>
              <w:t>Type of Account</w:t>
            </w:r>
          </w:p>
        </w:tc>
        <w:tc>
          <w:tcPr>
            <w:tcW w:w="1800" w:type="dxa"/>
            <w:vAlign w:val="bottom"/>
            <w:tcBorders>
              <w:right w:val="single" w:sz="8" w:color="auto"/>
            </w:tcBorders>
          </w:tcPr>
          <w:p>
            <w:pPr>
              <w:jc w:val="center"/>
              <w:ind w:right="33"/>
              <w:spacing w:after="0" w:line="182" w:lineRule="exact"/>
              <w:rPr>
                <w:sz w:val="20"/>
                <w:szCs w:val="20"/>
                <w:color w:val="auto"/>
              </w:rPr>
            </w:pPr>
            <w:r>
              <w:rPr>
                <w:rFonts w:ascii="Times New Roman" w:cs="Times New Roman" w:eastAsia="Times New Roman" w:hAnsi="Times New Roman"/>
                <w:sz w:val="21"/>
                <w:szCs w:val="21"/>
                <w:b w:val="1"/>
                <w:bCs w:val="1"/>
                <w:color w:val="auto"/>
              </w:rPr>
              <w:t>Purpose of</w:t>
            </w:r>
          </w:p>
        </w:tc>
        <w:tc>
          <w:tcPr>
            <w:tcW w:w="1780" w:type="dxa"/>
            <w:vAlign w:val="bottom"/>
            <w:tcBorders>
              <w:right w:val="single" w:sz="8" w:color="auto"/>
            </w:tcBorders>
          </w:tcPr>
          <w:p>
            <w:pPr>
              <w:jc w:val="center"/>
              <w:ind w:right="13"/>
              <w:spacing w:after="0" w:line="182" w:lineRule="exact"/>
              <w:rPr>
                <w:sz w:val="20"/>
                <w:szCs w:val="20"/>
                <w:color w:val="auto"/>
              </w:rPr>
            </w:pPr>
            <w:r>
              <w:rPr>
                <w:rFonts w:ascii="Times New Roman" w:cs="Times New Roman" w:eastAsia="Times New Roman" w:hAnsi="Times New Roman"/>
                <w:sz w:val="21"/>
                <w:szCs w:val="21"/>
                <w:b w:val="1"/>
                <w:bCs w:val="1"/>
                <w:color w:val="auto"/>
              </w:rPr>
              <w:t>Account</w:t>
            </w:r>
          </w:p>
        </w:tc>
        <w:tc>
          <w:tcPr>
            <w:tcW w:w="3800" w:type="dxa"/>
            <w:vAlign w:val="bottom"/>
            <w:tcBorders>
              <w:right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Name and Address of Financial</w:t>
            </w:r>
          </w:p>
        </w:tc>
      </w:tr>
      <w:tr>
        <w:trPr>
          <w:trHeight w:val="243"/>
        </w:trPr>
        <w:tc>
          <w:tcPr>
            <w:tcW w:w="1980" w:type="dxa"/>
            <w:vAlign w:val="bottom"/>
            <w:tcBorders>
              <w:left w:val="single" w:sz="8" w:color="auto"/>
              <w:right w:val="single" w:sz="8" w:color="auto"/>
            </w:tcBorders>
          </w:tcPr>
          <w:p>
            <w:pPr>
              <w:spacing w:after="0"/>
              <w:rPr>
                <w:sz w:val="21"/>
                <w:szCs w:val="21"/>
                <w:color w:val="auto"/>
              </w:rPr>
            </w:pPr>
          </w:p>
        </w:tc>
        <w:tc>
          <w:tcPr>
            <w:tcW w:w="1880" w:type="dxa"/>
            <w:vAlign w:val="bottom"/>
            <w:tcBorders>
              <w:right w:val="single" w:sz="8" w:color="auto"/>
            </w:tcBorders>
          </w:tcPr>
          <w:p>
            <w:pPr>
              <w:jc w:val="center"/>
              <w:ind w:right="33"/>
              <w:spacing w:after="0" w:line="243" w:lineRule="exact"/>
              <w:rPr>
                <w:sz w:val="20"/>
                <w:szCs w:val="20"/>
                <w:color w:val="auto"/>
              </w:rPr>
            </w:pPr>
            <w:r>
              <w:rPr>
                <w:rFonts w:ascii="Times New Roman" w:cs="Times New Roman" w:eastAsia="Times New Roman" w:hAnsi="Times New Roman"/>
                <w:sz w:val="22"/>
                <w:szCs w:val="22"/>
                <w:b w:val="1"/>
                <w:bCs w:val="1"/>
                <w:color w:val="auto"/>
                <w:w w:val="97"/>
              </w:rPr>
              <w:t>(Deposit,</w:t>
            </w:r>
          </w:p>
        </w:tc>
        <w:tc>
          <w:tcPr>
            <w:tcW w:w="18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17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w:t>
            </w:r>
          </w:p>
        </w:tc>
        <w:tc>
          <w:tcPr>
            <w:tcW w:w="1080" w:type="dxa"/>
            <w:vAlign w:val="bottom"/>
          </w:tcPr>
          <w:p>
            <w:pPr>
              <w:spacing w:after="0"/>
              <w:rPr>
                <w:sz w:val="21"/>
                <w:szCs w:val="21"/>
                <w:color w:val="auto"/>
              </w:rPr>
            </w:pPr>
          </w:p>
        </w:tc>
        <w:tc>
          <w:tcPr>
            <w:tcW w:w="2720" w:type="dxa"/>
            <w:vAlign w:val="bottom"/>
            <w:tcBorders>
              <w:right w:val="single" w:sz="8" w:color="auto"/>
            </w:tcBorders>
          </w:tcPr>
          <w:p>
            <w:pPr>
              <w:jc w:val="center"/>
              <w:ind w:right="10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Institution</w:t>
            </w:r>
          </w:p>
        </w:tc>
      </w:tr>
      <w:tr>
        <w:trPr>
          <w:trHeight w:val="305"/>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Securities)</w:t>
            </w: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r>
        <w:trPr>
          <w:trHeight w:val="206"/>
        </w:trPr>
        <w:tc>
          <w:tcPr>
            <w:tcW w:w="1980" w:type="dxa"/>
            <w:vAlign w:val="bottom"/>
            <w:tcBorders>
              <w:left w:val="single" w:sz="8" w:color="auto"/>
              <w:right w:val="single" w:sz="8" w:color="auto"/>
            </w:tcBorders>
          </w:tcPr>
          <w:p>
            <w:pPr>
              <w:ind w:left="120"/>
              <w:spacing w:after="0" w:line="206" w:lineRule="exact"/>
              <w:rPr>
                <w:sz w:val="20"/>
                <w:szCs w:val="20"/>
                <w:color w:val="auto"/>
              </w:rPr>
            </w:pPr>
            <w:r>
              <w:rPr>
                <w:rFonts w:ascii="Times New Roman" w:cs="Times New Roman" w:eastAsia="Times New Roman" w:hAnsi="Times New Roman"/>
                <w:sz w:val="22"/>
                <w:szCs w:val="22"/>
                <w:color w:val="auto"/>
              </w:rPr>
              <w:t>Disc Medicine</w:t>
            </w:r>
          </w:p>
        </w:tc>
        <w:tc>
          <w:tcPr>
            <w:tcW w:w="18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17"/>
                <w:szCs w:val="17"/>
                <w:color w:val="auto"/>
              </w:rPr>
            </w:pPr>
          </w:p>
        </w:tc>
        <w:tc>
          <w:tcPr>
            <w:tcW w:w="2720" w:type="dxa"/>
            <w:vAlign w:val="bottom"/>
            <w:tcBorders>
              <w:right w:val="single" w:sz="8" w:color="auto"/>
            </w:tcBorders>
          </w:tcPr>
          <w:p>
            <w:pPr>
              <w:jc w:val="center"/>
              <w:ind w:right="1012"/>
              <w:spacing w:after="0" w:line="206"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Securities Corp</w:t>
            </w: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r>
        <w:trPr>
          <w:trHeight w:val="223"/>
        </w:trPr>
        <w:tc>
          <w:tcPr>
            <w:tcW w:w="19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19"/>
                <w:szCs w:val="19"/>
                <w:color w:val="auto"/>
              </w:rPr>
            </w:pPr>
          </w:p>
        </w:tc>
        <w:tc>
          <w:tcPr>
            <w:tcW w:w="2720" w:type="dxa"/>
            <w:vAlign w:val="bottom"/>
            <w:tcBorders>
              <w:right w:val="single" w:sz="8" w:color="auto"/>
            </w:tcBorders>
          </w:tcPr>
          <w:p>
            <w:pPr>
              <w:jc w:val="center"/>
              <w:ind w:right="1012"/>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Securities Corp</w:t>
            </w: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r>
        <w:trPr>
          <w:trHeight w:val="223"/>
        </w:trPr>
        <w:tc>
          <w:tcPr>
            <w:tcW w:w="19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19"/>
                <w:szCs w:val="19"/>
                <w:color w:val="auto"/>
              </w:rPr>
            </w:pPr>
          </w:p>
        </w:tc>
        <w:tc>
          <w:tcPr>
            <w:tcW w:w="2720" w:type="dxa"/>
            <w:vAlign w:val="bottom"/>
            <w:tcBorders>
              <w:right w:val="single" w:sz="8" w:color="auto"/>
            </w:tcBorders>
          </w:tcPr>
          <w:p>
            <w:pPr>
              <w:jc w:val="center"/>
              <w:ind w:right="1012"/>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Securities Corp</w:t>
            </w: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r>
        <w:trPr>
          <w:trHeight w:val="277"/>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Disc Medicine B.V.</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24"/>
                <w:szCs w:val="24"/>
                <w:color w:val="auto"/>
              </w:rPr>
            </w:pPr>
          </w:p>
        </w:tc>
        <w:tc>
          <w:tcPr>
            <w:tcW w:w="2720" w:type="dxa"/>
            <w:vAlign w:val="bottom"/>
            <w:tcBorders>
              <w:right w:val="single" w:sz="8" w:color="auto"/>
            </w:tcBorders>
          </w:tcPr>
          <w:p>
            <w:pPr>
              <w:jc w:val="center"/>
              <w:ind w:right="1012"/>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276"/>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Disc Medicine B.V.</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23"/>
                <w:szCs w:val="23"/>
                <w:color w:val="auto"/>
              </w:rPr>
            </w:pPr>
          </w:p>
        </w:tc>
        <w:tc>
          <w:tcPr>
            <w:tcW w:w="2720" w:type="dxa"/>
            <w:vAlign w:val="bottom"/>
            <w:tcBorders>
              <w:right w:val="single" w:sz="8" w:color="auto"/>
            </w:tcBorders>
          </w:tcPr>
          <w:p>
            <w:pPr>
              <w:jc w:val="center"/>
              <w:ind w:right="1012"/>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223"/>
        </w:trPr>
        <w:tc>
          <w:tcPr>
            <w:tcW w:w="198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 Pty</w:t>
            </w: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080" w:type="dxa"/>
            <w:vAlign w:val="bottom"/>
          </w:tcPr>
          <w:p>
            <w:pPr>
              <w:spacing w:after="0"/>
              <w:rPr>
                <w:sz w:val="19"/>
                <w:szCs w:val="19"/>
                <w:color w:val="auto"/>
              </w:rPr>
            </w:pPr>
          </w:p>
        </w:tc>
        <w:tc>
          <w:tcPr>
            <w:tcW w:w="2720" w:type="dxa"/>
            <w:vAlign w:val="bottom"/>
            <w:tcBorders>
              <w:right w:val="single" w:sz="8" w:color="auto"/>
            </w:tcBorders>
          </w:tcPr>
          <w:p>
            <w:pPr>
              <w:jc w:val="center"/>
              <w:ind w:right="1012"/>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83"/>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Ltd</w:t>
            </w: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CERTIFICATE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Hercules Capital, Inc. (as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North B Street, Suite 2000</w:t>
      </w:r>
    </w:p>
    <w:p>
      <w:pPr>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Reference is made to that certain Loan and Security Agreement dated November 6, 2024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Hercules Capital, Inc.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the several banks and other financial institutions or entities from time to time party thereto (collectively,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Disc Medicine,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its Subsidiaries from time to time party thereto (individually and collectively with Company hereinafter referred to as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All capitalized terms not defined herein shall have the same meaning as defined in the Loan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undersigned is an officer of the Company, knowledgeable of all Company financial matters, and is authorized to provide certification of information regarding the Company; hereby certifies, in such capacity and not in any individual capacity, that:</w:t>
      </w:r>
    </w:p>
    <w:p>
      <w:pPr>
        <w:spacing w:after="0" w:line="173" w:lineRule="exact"/>
        <w:rPr>
          <w:sz w:val="20"/>
          <w:szCs w:val="20"/>
          <w:color w:val="auto"/>
        </w:rPr>
      </w:pPr>
    </w:p>
    <w:p>
      <w:pPr>
        <w:ind w:left="760" w:right="20" w:hanging="752"/>
        <w:spacing w:after="0" w:line="258"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fact or condition exists that would (or would, with the passage of time, the giving or notice, or both) constitute a Default or an Event of Default;</w:t>
      </w:r>
    </w:p>
    <w:p>
      <w:pPr>
        <w:spacing w:after="0" w:line="158" w:lineRule="exact"/>
        <w:rPr>
          <w:rFonts w:ascii="Times New Roman" w:cs="Times New Roman" w:eastAsia="Times New Roman" w:hAnsi="Times New Roman"/>
          <w:sz w:val="22"/>
          <w:szCs w:val="22"/>
          <w:color w:val="auto"/>
        </w:rPr>
      </w:pPr>
    </w:p>
    <w:p>
      <w:pPr>
        <w:jc w:val="both"/>
        <w:ind w:left="760" w:hanging="752"/>
        <w:spacing w:after="0" w:line="239"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contained in the Loan Agreement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Accompanied herewith are [</w:t>
      </w:r>
      <w:r>
        <w:rPr>
          <w:rFonts w:ascii="Times New Roman" w:cs="Times New Roman" w:eastAsia="Times New Roman" w:hAnsi="Times New Roman"/>
          <w:sz w:val="22"/>
          <w:szCs w:val="22"/>
          <w:i w:val="1"/>
          <w:iCs w:val="1"/>
          <w:color w:val="auto"/>
        </w:rPr>
        <w:t>Select one: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unaudited interim and year-to-date cash balance reports as of the end of the calendar month ended [_____], 20__, and listing of amounts held in each deposit and securities account of Borrower]</w:t>
      </w:r>
    </w:p>
    <w:p>
      <w:pPr>
        <w:spacing w:after="0" w:line="158" w:lineRule="exact"/>
        <w:rPr>
          <w:rFonts w:ascii="Times New Roman" w:cs="Times New Roman" w:eastAsia="Times New Roman" w:hAnsi="Times New Roman"/>
          <w:sz w:val="22"/>
          <w:szCs w:val="22"/>
          <w:color w:val="auto"/>
        </w:rPr>
      </w:pPr>
    </w:p>
    <w:p>
      <w:pPr>
        <w:jc w:val="both"/>
        <w:ind w:left="7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[quarterly unaudited [interim and year-to-date] financial statements as of the end of the calendar quarter ended [_____], 20__,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Company’s Chief Executive Officer or Chief Financial Officer to the effect that they have been prepared in accordance with GAAP, except</w:t>
      </w:r>
    </w:p>
    <w:p>
      <w:pPr>
        <w:spacing w:after="0" w:line="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for the absence of footnotes, and (ii) that they are subject to normal year end adjustments.]</w:t>
      </w:r>
    </w:p>
    <w:p>
      <w:pPr>
        <w:spacing w:after="0" w:line="182"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[audited financial statements as of the end of the fiscal year ended December 31, 20__ (prepared on a consolidated basis, if applicable), including balance sheet and related statements of income and cash flows, and setting forth in comparative form the corresponding figures for the preceding fiscal year, certified without qualification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7" w:name="page98"/>
    <w:bookmarkEnd w:id="97"/>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than any going concern qualification) by a firm of independent certified public accountants selected by Company and reasonably acceptable to Agent (it being understood that Ernst &amp; Young LLP is reasonably acceptable to Agent), accompanied by any final management report from such accountants.]</w:t>
      </w:r>
    </w:p>
    <w:p>
      <w:pPr>
        <w:spacing w:after="0" w:line="173" w:lineRule="exact"/>
        <w:rPr>
          <w:sz w:val="20"/>
          <w:szCs w:val="20"/>
          <w:color w:val="auto"/>
        </w:rPr>
      </w:pPr>
    </w:p>
    <w:p>
      <w:pPr>
        <w:jc w:val="both"/>
        <w:ind w:left="760" w:hanging="752"/>
        <w:spacing w:after="0" w:line="244"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described in foregoing </w:t>
      </w:r>
      <w:r>
        <w:rPr>
          <w:rFonts w:ascii="Times New Roman" w:cs="Times New Roman" w:eastAsia="Times New Roman" w:hAnsi="Times New Roman"/>
          <w:sz w:val="22"/>
          <w:szCs w:val="22"/>
          <w:u w:val="single" w:color="auto"/>
          <w:color w:val="auto"/>
        </w:rPr>
        <w:t>paragraph 3</w:t>
      </w:r>
      <w:r>
        <w:rPr>
          <w:rFonts w:ascii="Times New Roman" w:cs="Times New Roman" w:eastAsia="Times New Roman" w:hAnsi="Times New Roman"/>
          <w:sz w:val="22"/>
          <w:szCs w:val="22"/>
          <w:color w:val="auto"/>
        </w:rPr>
        <w:t xml:space="preserve"> is prepared in accordance with GAAP (except for the absence of footnotes with respect to unaudited financial statement and subject to normal year end adjustments) and are consistent from one period to the next except as explained below.</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REPORTING REQUIREMENT</w:t>
            </w:r>
          </w:p>
        </w:tc>
        <w:tc>
          <w:tcPr>
            <w:tcW w:w="31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REQUIRED</w:t>
            </w:r>
          </w:p>
        </w:tc>
        <w:tc>
          <w:tcPr>
            <w:tcW w:w="33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CHECK IF ATTACHED</w:t>
            </w:r>
          </w:p>
        </w:tc>
      </w:tr>
      <w:tr>
        <w:trPr>
          <w:trHeight w:val="217"/>
        </w:trPr>
        <w:tc>
          <w:tcPr>
            <w:tcW w:w="4120" w:type="dxa"/>
            <w:vAlign w:val="bottom"/>
            <w:tcBorders>
              <w:left w:val="single" w:sz="8" w:color="auto"/>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r>
      <w:tr>
        <w:trPr>
          <w:trHeight w:val="262"/>
        </w:trPr>
        <w:tc>
          <w:tcPr>
            <w:tcW w:w="4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Interim Financial Statements</w:t>
            </w:r>
          </w:p>
        </w:tc>
        <w:tc>
          <w:tcPr>
            <w:tcW w:w="3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Monthly within 30 days</w:t>
            </w:r>
          </w:p>
        </w:tc>
        <w:tc>
          <w:tcPr>
            <w:tcW w:w="3340" w:type="dxa"/>
            <w:vAlign w:val="bottom"/>
            <w:tcBorders>
              <w:right w:val="single" w:sz="8" w:color="auto"/>
            </w:tcBorders>
          </w:tcPr>
          <w:p>
            <w:pPr>
              <w:spacing w:after="0"/>
              <w:rPr>
                <w:sz w:val="22"/>
                <w:szCs w:val="22"/>
                <w:color w:val="auto"/>
              </w:rPr>
            </w:pPr>
          </w:p>
        </w:tc>
      </w:tr>
      <w:tr>
        <w:trPr>
          <w:trHeight w:val="200"/>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76"/>
        </w:trPr>
        <w:tc>
          <w:tcPr>
            <w:tcW w:w="4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Interim Financial Statements</w:t>
            </w:r>
          </w:p>
        </w:tc>
        <w:tc>
          <w:tcPr>
            <w:tcW w:w="3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Quarterly within 45 days</w:t>
            </w:r>
          </w:p>
        </w:tc>
        <w:tc>
          <w:tcPr>
            <w:tcW w:w="3340" w:type="dxa"/>
            <w:vAlign w:val="bottom"/>
            <w:tcBorders>
              <w:right w:val="single" w:sz="8" w:color="auto"/>
            </w:tcBorders>
          </w:tcPr>
          <w:p>
            <w:pPr>
              <w:spacing w:after="0"/>
              <w:rPr>
                <w:sz w:val="23"/>
                <w:szCs w:val="23"/>
                <w:color w:val="auto"/>
              </w:rPr>
            </w:pPr>
          </w:p>
        </w:tc>
      </w:tr>
      <w:tr>
        <w:trPr>
          <w:trHeight w:val="204"/>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r>
        <w:trPr>
          <w:trHeight w:val="276"/>
        </w:trPr>
        <w:tc>
          <w:tcPr>
            <w:tcW w:w="4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Audited Financial Statements</w:t>
            </w:r>
          </w:p>
        </w:tc>
        <w:tc>
          <w:tcPr>
            <w:tcW w:w="3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FYE within 90 days</w:t>
            </w:r>
          </w:p>
        </w:tc>
        <w:tc>
          <w:tcPr>
            <w:tcW w:w="3340" w:type="dxa"/>
            <w:vAlign w:val="bottom"/>
            <w:tcBorders>
              <w:right w:val="single" w:sz="8" w:color="auto"/>
            </w:tcBorders>
          </w:tcPr>
          <w:p>
            <w:pPr>
              <w:spacing w:after="0"/>
              <w:rPr>
                <w:sz w:val="23"/>
                <w:szCs w:val="23"/>
                <w:color w:val="auto"/>
              </w:rPr>
            </w:pPr>
          </w:p>
        </w:tc>
      </w:tr>
      <w:tr>
        <w:trPr>
          <w:trHeight w:val="204"/>
        </w:trPr>
        <w:tc>
          <w:tcPr>
            <w:tcW w:w="4120" w:type="dxa"/>
            <w:vAlign w:val="bottom"/>
            <w:tcBorders>
              <w:left w:val="single" w:sz="8" w:color="auto"/>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xml:space="preserve"> are calculations demonstrating compliance with </w:t>
      </w:r>
      <w:r>
        <w:rPr>
          <w:rFonts w:ascii="Times New Roman" w:cs="Times New Roman" w:eastAsia="Times New Roman" w:hAnsi="Times New Roman"/>
          <w:sz w:val="22"/>
          <w:szCs w:val="22"/>
          <w:u w:val="single" w:color="auto"/>
          <w:color w:val="auto"/>
        </w:rPr>
        <w:t>Section 7.22</w:t>
      </w:r>
      <w:r>
        <w:rPr>
          <w:rFonts w:ascii="Times New Roman" w:cs="Times New Roman" w:eastAsia="Times New Roman" w:hAnsi="Times New Roman"/>
          <w:sz w:val="22"/>
          <w:szCs w:val="22"/>
          <w:color w:val="auto"/>
        </w:rPr>
        <w:t xml:space="preserve"> of the Loan Agreement.</w:t>
      </w:r>
    </w:p>
    <w:p>
      <w:pPr>
        <w:spacing w:after="0" w:line="206"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9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Annex 2</w:t>
      </w:r>
      <w:r>
        <w:rPr>
          <w:rFonts w:ascii="Times New Roman" w:cs="Times New Roman" w:eastAsia="Times New Roman" w:hAnsi="Times New Roman"/>
          <w:sz w:val="22"/>
          <w:szCs w:val="22"/>
          <w:color w:val="auto"/>
        </w:rPr>
        <w:t xml:space="preserve"> sets forth a description of (a) any claim(s) made to any Borrower in writing (since the most recently delivered Compliance Certificate) that any material part of the Current Company IP violates the rights of any third party and (b) any Specified Dispute(s) alleged or threatened in writing since the most recently delivered Compliance Certificate, in each case challenging the legality, validity, enforceability or ownership of any Current Company IP, in each case that would have a material adverse effect on the Products.</w:t>
      </w:r>
    </w:p>
    <w:p>
      <w:pPr>
        <w:spacing w:after="0" w:line="176" w:lineRule="exact"/>
        <w:rPr>
          <w:rFonts w:ascii="Times New Roman" w:cs="Times New Roman" w:eastAsia="Times New Roman" w:hAnsi="Times New Roman"/>
          <w:sz w:val="22"/>
          <w:szCs w:val="22"/>
          <w:u w:val="single" w:color="auto"/>
          <w:color w:val="auto"/>
        </w:rPr>
      </w:pPr>
    </w:p>
    <w:p>
      <w:pPr>
        <w:ind w:left="760" w:right="20" w:hanging="752"/>
        <w:spacing w:after="0" w:line="258"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Annex 3</w:t>
      </w:r>
      <w:r>
        <w:rPr>
          <w:rFonts w:ascii="Times New Roman" w:cs="Times New Roman" w:eastAsia="Times New Roman" w:hAnsi="Times New Roman"/>
          <w:sz w:val="22"/>
          <w:szCs w:val="22"/>
          <w:color w:val="auto"/>
        </w:rPr>
        <w:t xml:space="preserve"> are calculations demonstrating compliance with the second sentence of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of the Loan Agreement.</w:t>
      </w:r>
    </w:p>
    <w:p>
      <w:pPr>
        <w:spacing w:after="0" w:line="15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Annex 4</w:t>
      </w:r>
      <w:r>
        <w:rPr>
          <w:rFonts w:ascii="Times New Roman" w:cs="Times New Roman" w:eastAsia="Times New Roman" w:hAnsi="Times New Roman"/>
          <w:sz w:val="22"/>
          <w:szCs w:val="22"/>
          <w:color w:val="auto"/>
        </w:rPr>
        <w:t xml:space="preserve"> are calculations demonstrating compliance with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of the Loan Agreement.</w:t>
      </w:r>
    </w:p>
    <w:p>
      <w:pPr>
        <w:spacing w:after="0" w:line="202"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Choose one:</w:t>
      </w:r>
      <w:r>
        <w:rPr>
          <w:rFonts w:ascii="Times New Roman" w:cs="Times New Roman" w:eastAsia="Times New Roman" w:hAnsi="Times New Roman"/>
          <w:sz w:val="22"/>
          <w:szCs w:val="22"/>
          <w:color w:val="auto"/>
        </w:rPr>
        <w:t xml:space="preserve">] [With regard to insurance policies required to be maintained in accordance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Loan Agreement (“</w:t>
      </w:r>
      <w:r>
        <w:rPr>
          <w:rFonts w:ascii="Times New Roman" w:cs="Times New Roman" w:eastAsia="Times New Roman" w:hAnsi="Times New Roman"/>
          <w:sz w:val="22"/>
          <w:szCs w:val="22"/>
          <w:u w:val="single" w:color="auto"/>
          <w:color w:val="auto"/>
        </w:rPr>
        <w:t>Required Policies</w:t>
      </w:r>
      <w:r>
        <w:rPr>
          <w:rFonts w:ascii="Times New Roman" w:cs="Times New Roman" w:eastAsia="Times New Roman" w:hAnsi="Times New Roman"/>
          <w:sz w:val="22"/>
          <w:szCs w:val="22"/>
          <w:color w:val="auto"/>
        </w:rPr>
        <w:t>”), transmitted herewith are (a) insurance renewal statements regarding Required Policies, (b) amendments to Required Policies and/or (c) copies of new Required Policies] [Since delivery of the previous Compliance Certificate, neither Borrower nor any of its Subsidiaries has entered into or amended any insurance policy required pursuant to Section 6.1 of the Loan Agreement].</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46"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Choose one:</w:t>
      </w:r>
      <w:r>
        <w:rPr>
          <w:rFonts w:ascii="Times New Roman" w:cs="Times New Roman" w:eastAsia="Times New Roman" w:hAnsi="Times New Roman"/>
          <w:sz w:val="22"/>
          <w:szCs w:val="22"/>
          <w:color w:val="auto"/>
        </w:rPr>
        <w:t xml:space="preserve">] [Part A of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to the Loan Agreement continues to be a current] [Attached hereto as </w:t>
      </w:r>
      <w:r>
        <w:rPr>
          <w:rFonts w:ascii="Times New Roman" w:cs="Times New Roman" w:eastAsia="Times New Roman" w:hAnsi="Times New Roman"/>
          <w:sz w:val="22"/>
          <w:szCs w:val="22"/>
          <w:u w:val="single" w:color="auto"/>
          <w:color w:val="auto"/>
        </w:rPr>
        <w:t>Annex 5</w:t>
      </w:r>
      <w:r>
        <w:rPr>
          <w:rFonts w:ascii="Times New Roman" w:cs="Times New Roman" w:eastAsia="Times New Roman" w:hAnsi="Times New Roman"/>
          <w:sz w:val="22"/>
          <w:szCs w:val="22"/>
          <w:color w:val="auto"/>
        </w:rPr>
        <w:t xml:space="preserve"> is an updated] part A of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xml:space="preserve"> to the Loan Agreement, which sets forth is a true, correct and complete list of each Subsidiary.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left="752" w:right="20" w:hanging="752"/>
        <w:spacing w:after="0" w:line="241" w:lineRule="auto"/>
        <w:tabs>
          <w:tab w:leader="none" w:pos="75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Choose one: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Loan Agreement continues to be a current] [Attached hereto as </w:t>
      </w:r>
      <w:r>
        <w:rPr>
          <w:rFonts w:ascii="Times New Roman" w:cs="Times New Roman" w:eastAsia="Times New Roman" w:hAnsi="Times New Roman"/>
          <w:sz w:val="22"/>
          <w:szCs w:val="22"/>
          <w:u w:val="single" w:color="auto"/>
          <w:color w:val="auto"/>
        </w:rPr>
        <w:t>Annex [6]</w:t>
      </w:r>
      <w:r>
        <w:rPr>
          <w:rFonts w:ascii="Times New Roman" w:cs="Times New Roman" w:eastAsia="Times New Roman" w:hAnsi="Times New Roman"/>
          <w:sz w:val="22"/>
          <w:szCs w:val="22"/>
          <w:color w:val="auto"/>
        </w:rPr>
        <w:t xml:space="preserve"> is an updated]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Loan Agreement, which correctly sets forth Borrower’s present name, former names (if any) during the five year period before the Closing Date, location of chief executive office, place of formation, Tax identification number, and organizational identification number, if applicable.</w:t>
      </w:r>
    </w:p>
    <w:p>
      <w:pPr>
        <w:spacing w:after="0" w:line="171" w:lineRule="exact"/>
        <w:rPr>
          <w:rFonts w:ascii="Times New Roman" w:cs="Times New Roman" w:eastAsia="Times New Roman" w:hAnsi="Times New Roman"/>
          <w:sz w:val="22"/>
          <w:szCs w:val="22"/>
          <w:color w:val="auto"/>
        </w:rPr>
      </w:pPr>
    </w:p>
    <w:p>
      <w:pPr>
        <w:ind w:left="752" w:hanging="752"/>
        <w:spacing w:after="0" w:line="237" w:lineRule="auto"/>
        <w:tabs>
          <w:tab w:leader="none" w:pos="75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Choose one: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to the Loan Agreement continues to be a current] [Attached hereto as </w:t>
      </w:r>
      <w:r>
        <w:rPr>
          <w:rFonts w:ascii="Times New Roman" w:cs="Times New Roman" w:eastAsia="Times New Roman" w:hAnsi="Times New Roman"/>
          <w:sz w:val="22"/>
          <w:szCs w:val="22"/>
          <w:u w:val="single" w:color="auto"/>
          <w:color w:val="auto"/>
        </w:rPr>
        <w:t>Annex [7]</w:t>
      </w:r>
      <w:r>
        <w:rPr>
          <w:rFonts w:ascii="Times New Roman" w:cs="Times New Roman" w:eastAsia="Times New Roman" w:hAnsi="Times New Roman"/>
          <w:sz w:val="22"/>
          <w:szCs w:val="22"/>
          <w:color w:val="auto"/>
        </w:rPr>
        <w:t xml:space="preserve"> is an updated]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to the Loan Agreement, which sets forth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and address of each bank or other institution, the name in which the account is held, a description of the purpose of the account, and the complete account number therefor.</w:t>
      </w:r>
    </w:p>
    <w:p>
      <w:pPr>
        <w:spacing w:after="0" w:line="179" w:lineRule="exact"/>
        <w:rPr>
          <w:sz w:val="20"/>
          <w:szCs w:val="20"/>
          <w:color w:val="auto"/>
        </w:rPr>
      </w:pPr>
    </w:p>
    <w:p>
      <w:pPr>
        <w:ind w:left="4492"/>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4492"/>
        <w:spacing w:after="0"/>
        <w:rPr>
          <w:sz w:val="20"/>
          <w:szCs w:val="20"/>
          <w:color w:val="auto"/>
        </w:rPr>
      </w:pPr>
      <w:r>
        <w:rPr>
          <w:rFonts w:ascii="Times New Roman" w:cs="Times New Roman" w:eastAsia="Times New Roman" w:hAnsi="Times New Roman"/>
          <w:sz w:val="22"/>
          <w:szCs w:val="22"/>
          <w:b w:val="1"/>
          <w:bCs w:val="1"/>
          <w:color w:val="auto"/>
        </w:rPr>
        <w:t>DISC MEDICINE, INC.</w:t>
      </w:r>
      <w:r>
        <w:rPr>
          <w:rFonts w:ascii="Times New Roman" w:cs="Times New Roman" w:eastAsia="Times New Roman" w:hAnsi="Times New Roman"/>
          <w:sz w:val="22"/>
          <w:szCs w:val="22"/>
          <w:color w:val="auto"/>
        </w:rPr>
        <w:t>, as Borrower Agent</w:t>
      </w:r>
    </w:p>
    <w:p>
      <w:pPr>
        <w:spacing w:after="0" w:line="237" w:lineRule="exact"/>
        <w:rPr>
          <w:sz w:val="20"/>
          <w:szCs w:val="20"/>
          <w:color w:val="auto"/>
        </w:rPr>
      </w:pPr>
    </w:p>
    <w:p>
      <w:pPr>
        <w:ind w:left="4492"/>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4"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22"/>
          <w:szCs w:val="22"/>
          <w:color w:val="auto"/>
        </w:rPr>
        <w:t>Name:</w:t>
      </w:r>
    </w:p>
    <w:p>
      <w:pPr>
        <w:ind w:left="4872"/>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04" w:right="3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2"/>
          <w:szCs w:val="22"/>
          <w:b w:val="1"/>
          <w:bCs w:val="1"/>
          <w:color w:val="auto"/>
        </w:rPr>
        <w:t>ANNEX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CALCULATIONS OF COMPLIANCE WITH SECTION 7.22</w:t>
      </w:r>
    </w:p>
    <w:p>
      <w:pPr>
        <w:spacing w:after="0" w:line="210"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Borrower’s Market Capitalization greater than or equal to One Billion Dollars ($1,000,000,000)?</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00" w:type="dxa"/>
            <w:vAlign w:val="bottom"/>
            <w:gridSpan w:val="4"/>
          </w:tcPr>
          <w:p>
            <w:pPr>
              <w:ind w:left="2740"/>
              <w:spacing w:after="0"/>
              <w:rPr>
                <w:sz w:val="20"/>
                <w:szCs w:val="20"/>
                <w:color w:val="auto"/>
              </w:rPr>
            </w:pPr>
            <w:r>
              <w:rPr>
                <w:rFonts w:ascii="Times New Roman" w:cs="Times New Roman" w:eastAsia="Times New Roman" w:hAnsi="Times New Roman"/>
                <w:sz w:val="22"/>
                <w:szCs w:val="22"/>
                <w:color w:val="auto"/>
                <w:w w:val="97"/>
              </w:rPr>
              <w:t>____ Yes (only complete worksheet below relating to compliance with 7.22(a)(ii))</w:t>
            </w:r>
          </w:p>
        </w:tc>
      </w:tr>
      <w:tr>
        <w:trPr>
          <w:trHeight w:val="459"/>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6"/>
              </w:rPr>
              <w:t>____ No (complete both worksheets below)</w:t>
            </w:r>
          </w:p>
        </w:tc>
      </w:tr>
      <w:tr>
        <w:trPr>
          <w:trHeight w:val="221"/>
        </w:trPr>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r>
        <w:trPr>
          <w:trHeight w:val="206"/>
        </w:trPr>
        <w:tc>
          <w:tcPr>
            <w:tcW w:w="1200" w:type="dxa"/>
            <w:vAlign w:val="bottom"/>
            <w:tcBorders>
              <w:left w:val="single" w:sz="8" w:color="auto"/>
            </w:tcBorders>
          </w:tcPr>
          <w:p>
            <w:pPr>
              <w:ind w:left="120"/>
              <w:spacing w:after="0" w:line="206" w:lineRule="exact"/>
              <w:rPr>
                <w:sz w:val="20"/>
                <w:szCs w:val="20"/>
                <w:color w:val="auto"/>
              </w:rPr>
            </w:pPr>
            <w:r>
              <w:rPr>
                <w:rFonts w:ascii="Times New Roman" w:cs="Times New Roman" w:eastAsia="Times New Roman" w:hAnsi="Times New Roman"/>
                <w:sz w:val="22"/>
                <w:szCs w:val="22"/>
                <w:color w:val="auto"/>
              </w:rPr>
              <w:t>7.22(a)(i)</w:t>
            </w:r>
          </w:p>
        </w:tc>
        <w:tc>
          <w:tcPr>
            <w:tcW w:w="140" w:type="dxa"/>
            <w:vAlign w:val="bottom"/>
            <w:tcBorders>
              <w:right w:val="single" w:sz="8" w:color="auto"/>
            </w:tcBorders>
          </w:tcPr>
          <w:p>
            <w:pPr>
              <w:spacing w:after="0"/>
              <w:rPr>
                <w:sz w:val="17"/>
                <w:szCs w:val="17"/>
                <w:color w:val="auto"/>
              </w:rPr>
            </w:pPr>
          </w:p>
        </w:tc>
        <w:tc>
          <w:tcPr>
            <w:tcW w:w="6040" w:type="dxa"/>
            <w:vAlign w:val="bottom"/>
            <w:tcBorders>
              <w:right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22"/>
                <w:szCs w:val="22"/>
                <w:color w:val="auto"/>
              </w:rPr>
              <w:t>Has the Initial Test Date occurred?</w:t>
            </w:r>
          </w:p>
        </w:tc>
        <w:tc>
          <w:tcPr>
            <w:tcW w:w="1240" w:type="dxa"/>
            <w:vAlign w:val="bottom"/>
            <w:tcBorders>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2"/>
                <w:szCs w:val="22"/>
                <w:color w:val="auto"/>
              </w:rPr>
              <w:t>[Yes]</w:t>
            </w:r>
          </w:p>
        </w:tc>
        <w:tc>
          <w:tcPr>
            <w:tcW w:w="2620" w:type="dxa"/>
            <w:vAlign w:val="bottom"/>
            <w:tcBorders>
              <w:right w:val="single" w:sz="8" w:color="auto"/>
            </w:tcBorders>
          </w:tcPr>
          <w:p>
            <w:pPr>
              <w:ind w:left="100"/>
              <w:spacing w:after="0" w:line="206" w:lineRule="exact"/>
              <w:rPr>
                <w:sz w:val="20"/>
                <w:szCs w:val="20"/>
                <w:color w:val="auto"/>
              </w:rPr>
            </w:pPr>
            <w:r>
              <w:rPr>
                <w:rFonts w:ascii="Times New Roman" w:cs="Times New Roman" w:eastAsia="Times New Roman" w:hAnsi="Times New Roman"/>
                <w:sz w:val="22"/>
                <w:szCs w:val="22"/>
                <w:color w:val="auto"/>
              </w:rPr>
              <w:t>If no, do not complete any</w:t>
            </w:r>
          </w:p>
        </w:tc>
      </w:tr>
      <w:tr>
        <w:trPr>
          <w:trHeight w:val="243"/>
        </w:trPr>
        <w:tc>
          <w:tcPr>
            <w:tcW w:w="120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[No]</w:t>
            </w:r>
          </w:p>
        </w:tc>
        <w:tc>
          <w:tcPr>
            <w:tcW w:w="262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further portion of this</w:t>
            </w:r>
          </w:p>
        </w:tc>
      </w:tr>
      <w:tr>
        <w:trPr>
          <w:trHeight w:val="301"/>
        </w:trPr>
        <w:tc>
          <w:tcPr>
            <w:tcW w:w="12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7.22(a)(i) worksheet.</w:t>
            </w:r>
          </w:p>
        </w:tc>
      </w:tr>
      <w:tr>
        <w:trPr>
          <w:trHeight w:val="247"/>
        </w:trPr>
        <w:tc>
          <w:tcPr>
            <w:tcW w:w="1200" w:type="dxa"/>
            <w:vAlign w:val="bottom"/>
            <w:tcBorders>
              <w:left w:val="single" w:sz="8" w:color="auto"/>
              <w:bottom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A</w:t>
            </w:r>
          </w:p>
        </w:tc>
        <w:tc>
          <w:tcPr>
            <w:tcW w:w="14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right w:val="single" w:sz="8" w:color="auto"/>
            </w:tcBorders>
            <w:gridSpan w:val="2"/>
          </w:tcPr>
          <w:p>
            <w:pPr>
              <w:ind w:left="100"/>
              <w:spacing w:after="0" w:line="247" w:lineRule="exact"/>
              <w:rPr>
                <w:sz w:val="20"/>
                <w:szCs w:val="20"/>
                <w:color w:val="auto"/>
              </w:rPr>
            </w:pPr>
            <w:r>
              <w:rPr>
                <w:rFonts w:ascii="Times New Roman" w:cs="Times New Roman" w:eastAsia="Times New Roman" w:hAnsi="Times New Roman"/>
                <w:sz w:val="22"/>
                <w:szCs w:val="22"/>
                <w:color w:val="auto"/>
              </w:rPr>
              <w:t>If yes, amount of Qualified Cash maintained by Borrower:</w:t>
            </w:r>
          </w:p>
        </w:tc>
        <w:tc>
          <w:tcPr>
            <w:tcW w:w="124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$_____</w:t>
            </w:r>
          </w:p>
        </w:tc>
        <w:tc>
          <w:tcPr>
            <w:tcW w:w="2620" w:type="dxa"/>
            <w:vAlign w:val="bottom"/>
            <w:tcBorders>
              <w:bottom w:val="single" w:sz="8" w:color="auto"/>
              <w:right w:val="single" w:sz="8" w:color="auto"/>
            </w:tcBorders>
          </w:tcPr>
          <w:p>
            <w:pPr>
              <w:spacing w:after="0"/>
              <w:rPr>
                <w:sz w:val="21"/>
                <w:szCs w:val="21"/>
                <w:color w:val="auto"/>
              </w:rPr>
            </w:pPr>
          </w:p>
        </w:tc>
      </w:tr>
      <w:tr>
        <w:trPr>
          <w:trHeight w:val="223"/>
        </w:trPr>
        <w:tc>
          <w:tcPr>
            <w:tcW w:w="120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w:t>
            </w:r>
          </w:p>
        </w:tc>
        <w:tc>
          <w:tcPr>
            <w:tcW w:w="14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Amount of aggregate Secured Obligations (including without</w:t>
            </w:r>
          </w:p>
        </w:tc>
        <w:tc>
          <w:tcPr>
            <w:tcW w:w="12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$_____</w:t>
            </w:r>
          </w:p>
        </w:tc>
        <w:tc>
          <w:tcPr>
            <w:tcW w:w="2620" w:type="dxa"/>
            <w:vAlign w:val="bottom"/>
            <w:tcBorders>
              <w:right w:val="single" w:sz="8" w:color="auto"/>
            </w:tcBorders>
          </w:tcPr>
          <w:p>
            <w:pPr>
              <w:spacing w:after="0"/>
              <w:rPr>
                <w:sz w:val="19"/>
                <w:szCs w:val="19"/>
                <w:color w:val="auto"/>
              </w:rPr>
            </w:pPr>
          </w:p>
        </w:tc>
      </w:tr>
      <w:tr>
        <w:trPr>
          <w:trHeight w:val="243"/>
        </w:trPr>
        <w:tc>
          <w:tcPr>
            <w:tcW w:w="120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40" w:type="dxa"/>
            <w:vAlign w:val="bottom"/>
            <w:tcBorders>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limitation principal of added to Term Loan Advances pursuant to</w:t>
            </w:r>
          </w:p>
        </w:tc>
        <w:tc>
          <w:tcPr>
            <w:tcW w:w="12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r>
      <w:tr>
        <w:trPr>
          <w:trHeight w:val="283"/>
        </w:trPr>
        <w:tc>
          <w:tcPr>
            <w:tcW w:w="12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Section 2.2(h)(ii)):</w:t>
            </w:r>
          </w:p>
        </w:tc>
        <w:tc>
          <w:tcPr>
            <w:tcW w:w="1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223"/>
        </w:trPr>
        <w:tc>
          <w:tcPr>
            <w:tcW w:w="120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w:t>
            </w:r>
          </w:p>
        </w:tc>
        <w:tc>
          <w:tcPr>
            <w:tcW w:w="14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Has the EP Clinical Milestone been achieved?</w:t>
            </w:r>
          </w:p>
        </w:tc>
        <w:tc>
          <w:tcPr>
            <w:tcW w:w="12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[Yes]</w:t>
            </w:r>
          </w:p>
        </w:tc>
        <w:tc>
          <w:tcPr>
            <w:tcW w:w="2620" w:type="dxa"/>
            <w:vAlign w:val="bottom"/>
            <w:tcBorders>
              <w:right w:val="single" w:sz="8" w:color="auto"/>
            </w:tcBorders>
          </w:tcPr>
          <w:p>
            <w:pPr>
              <w:spacing w:after="0"/>
              <w:rPr>
                <w:sz w:val="19"/>
                <w:szCs w:val="19"/>
                <w:color w:val="auto"/>
              </w:rPr>
            </w:pPr>
          </w:p>
        </w:tc>
      </w:tr>
      <w:tr>
        <w:trPr>
          <w:trHeight w:val="283"/>
        </w:trPr>
        <w:tc>
          <w:tcPr>
            <w:tcW w:w="12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w:t>
            </w:r>
          </w:p>
        </w:tc>
        <w:tc>
          <w:tcPr>
            <w:tcW w:w="2620" w:type="dxa"/>
            <w:vAlign w:val="bottom"/>
            <w:tcBorders>
              <w:bottom w:val="single" w:sz="8" w:color="auto"/>
              <w:right w:val="single" w:sz="8" w:color="auto"/>
            </w:tcBorders>
          </w:tcPr>
          <w:p>
            <w:pPr>
              <w:spacing w:after="0"/>
              <w:rPr>
                <w:sz w:val="24"/>
                <w:szCs w:val="24"/>
                <w:color w:val="auto"/>
              </w:rPr>
            </w:pPr>
          </w:p>
        </w:tc>
      </w:tr>
      <w:tr>
        <w:trPr>
          <w:trHeight w:val="223"/>
        </w:trPr>
        <w:tc>
          <w:tcPr>
            <w:tcW w:w="120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w:t>
            </w:r>
          </w:p>
        </w:tc>
        <w:tc>
          <w:tcPr>
            <w:tcW w:w="14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Has the Approval Milestone been achieved?</w:t>
            </w:r>
          </w:p>
        </w:tc>
        <w:tc>
          <w:tcPr>
            <w:tcW w:w="12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[Yes]</w:t>
            </w:r>
          </w:p>
        </w:tc>
        <w:tc>
          <w:tcPr>
            <w:tcW w:w="2620" w:type="dxa"/>
            <w:vAlign w:val="bottom"/>
            <w:tcBorders>
              <w:right w:val="single" w:sz="8" w:color="auto"/>
            </w:tcBorders>
          </w:tcPr>
          <w:p>
            <w:pPr>
              <w:spacing w:after="0"/>
              <w:rPr>
                <w:sz w:val="19"/>
                <w:szCs w:val="19"/>
                <w:color w:val="auto"/>
              </w:rPr>
            </w:pPr>
          </w:p>
        </w:tc>
      </w:tr>
      <w:tr>
        <w:trPr>
          <w:trHeight w:val="283"/>
        </w:trPr>
        <w:tc>
          <w:tcPr>
            <w:tcW w:w="12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w:t>
            </w:r>
          </w:p>
        </w:tc>
        <w:tc>
          <w:tcPr>
            <w:tcW w:w="2620" w:type="dxa"/>
            <w:vAlign w:val="bottom"/>
            <w:tcBorders>
              <w:bottom w:val="single" w:sz="8" w:color="auto"/>
              <w:right w:val="single" w:sz="8" w:color="auto"/>
            </w:tcBorders>
          </w:tcPr>
          <w:p>
            <w:pPr>
              <w:spacing w:after="0"/>
              <w:rPr>
                <w:sz w:val="24"/>
                <w:szCs w:val="24"/>
                <w:color w:val="auto"/>
              </w:rPr>
            </w:pPr>
          </w:p>
        </w:tc>
      </w:tr>
      <w:tr>
        <w:trPr>
          <w:trHeight w:val="264"/>
        </w:trPr>
        <w:tc>
          <w:tcPr>
            <w:tcW w:w="1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w:t>
            </w:r>
          </w:p>
        </w:tc>
        <w:tc>
          <w:tcPr>
            <w:tcW w:w="140" w:type="dxa"/>
            <w:vAlign w:val="bottom"/>
            <w:tcBorders>
              <w:right w:val="single" w:sz="8" w:color="auto"/>
            </w:tcBorders>
          </w:tcPr>
          <w:p>
            <w:pPr>
              <w:spacing w:after="0"/>
              <w:rPr>
                <w:sz w:val="22"/>
                <w:szCs w:val="22"/>
                <w:color w:val="auto"/>
              </w:rPr>
            </w:pPr>
          </w:p>
        </w:tc>
        <w:tc>
          <w:tcPr>
            <w:tcW w:w="6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Applicable Percentage (choose from below)</w:t>
            </w:r>
          </w:p>
        </w:tc>
        <w:tc>
          <w:tcPr>
            <w:tcW w:w="124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r>
      <w:tr>
        <w:trPr>
          <w:trHeight w:val="264"/>
        </w:trPr>
        <w:tc>
          <w:tcPr>
            <w:tcW w:w="120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6040" w:type="dxa"/>
            <w:vAlign w:val="bottom"/>
            <w:tcBorders>
              <w:bottom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color w:val="auto"/>
              </w:rPr>
              <w:t>If answers in both rows C and D are No:</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40%</w:t>
            </w:r>
          </w:p>
        </w:tc>
        <w:tc>
          <w:tcPr>
            <w:tcW w:w="2620" w:type="dxa"/>
            <w:vAlign w:val="bottom"/>
            <w:tcBorders>
              <w:bottom w:val="single" w:sz="8" w:color="auto"/>
              <w:right w:val="single" w:sz="8" w:color="auto"/>
            </w:tcBorders>
          </w:tcPr>
          <w:p>
            <w:pPr>
              <w:spacing w:after="0"/>
              <w:rPr>
                <w:sz w:val="22"/>
                <w:szCs w:val="22"/>
                <w:color w:val="auto"/>
              </w:rPr>
            </w:pPr>
          </w:p>
        </w:tc>
      </w:tr>
      <w:tr>
        <w:trPr>
          <w:trHeight w:val="263"/>
        </w:trPr>
        <w:tc>
          <w:tcPr>
            <w:tcW w:w="1200" w:type="dxa"/>
            <w:vAlign w:val="bottom"/>
            <w:tcBorders>
              <w:lef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6040" w:type="dxa"/>
            <w:vAlign w:val="bottom"/>
            <w:tcBorders>
              <w:bottom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color w:val="auto"/>
              </w:rPr>
              <w:t>If answer in row C is Yes but row D is No:</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30%</w:t>
            </w:r>
          </w:p>
        </w:tc>
        <w:tc>
          <w:tcPr>
            <w:tcW w:w="2620" w:type="dxa"/>
            <w:vAlign w:val="bottom"/>
            <w:tcBorders>
              <w:bottom w:val="single" w:sz="8" w:color="auto"/>
              <w:right w:val="single" w:sz="8" w:color="auto"/>
            </w:tcBorders>
          </w:tcPr>
          <w:p>
            <w:pPr>
              <w:spacing w:after="0"/>
              <w:rPr>
                <w:sz w:val="22"/>
                <w:szCs w:val="22"/>
                <w:color w:val="auto"/>
              </w:rPr>
            </w:pPr>
          </w:p>
        </w:tc>
      </w:tr>
      <w:tr>
        <w:trPr>
          <w:trHeight w:val="263"/>
        </w:trPr>
        <w:tc>
          <w:tcPr>
            <w:tcW w:w="1200" w:type="dxa"/>
            <w:vAlign w:val="bottom"/>
            <w:tcBorders>
              <w:left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6040" w:type="dxa"/>
            <w:vAlign w:val="bottom"/>
            <w:tcBorders>
              <w:bottom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color w:val="auto"/>
              </w:rPr>
              <w:t>If answer in row D is Yes:</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2620" w:type="dxa"/>
            <w:vAlign w:val="bottom"/>
            <w:tcBorders>
              <w:bottom w:val="single" w:sz="8" w:color="auto"/>
              <w:right w:val="single" w:sz="8" w:color="auto"/>
            </w:tcBorders>
          </w:tcPr>
          <w:p>
            <w:pPr>
              <w:spacing w:after="0"/>
              <w:rPr>
                <w:sz w:val="22"/>
                <w:szCs w:val="22"/>
                <w:color w:val="auto"/>
              </w:rPr>
            </w:pPr>
          </w:p>
        </w:tc>
      </w:tr>
      <w:tr>
        <w:trPr>
          <w:trHeight w:val="264"/>
        </w:trPr>
        <w:tc>
          <w:tcPr>
            <w:tcW w:w="12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w:t>
            </w:r>
          </w:p>
        </w:tc>
        <w:tc>
          <w:tcPr>
            <w:tcW w:w="140" w:type="dxa"/>
            <w:vAlign w:val="bottom"/>
            <w:tcBorders>
              <w:bottom w:val="single" w:sz="8" w:color="auto"/>
              <w:right w:val="single" w:sz="8" w:color="auto"/>
            </w:tcBorders>
          </w:tcPr>
          <w:p>
            <w:pPr>
              <w:spacing w:after="0"/>
              <w:rPr>
                <w:sz w:val="22"/>
                <w:szCs w:val="22"/>
                <w:color w:val="auto"/>
              </w:rPr>
            </w:pPr>
          </w:p>
        </w:tc>
        <w:tc>
          <w:tcPr>
            <w:tcW w:w="6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Product of amount in row B multiplied by amount in row H:</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$_____</w:t>
            </w:r>
          </w:p>
        </w:tc>
        <w:tc>
          <w:tcPr>
            <w:tcW w:w="2620" w:type="dxa"/>
            <w:vAlign w:val="bottom"/>
            <w:tcBorders>
              <w:bottom w:val="single" w:sz="8" w:color="auto"/>
              <w:right w:val="single" w:sz="8" w:color="auto"/>
            </w:tcBorders>
          </w:tcPr>
          <w:p>
            <w:pPr>
              <w:spacing w:after="0"/>
              <w:rPr>
                <w:sz w:val="22"/>
                <w:szCs w:val="22"/>
                <w:color w:val="auto"/>
              </w:rPr>
            </w:pPr>
          </w:p>
        </w:tc>
      </w:tr>
      <w:tr>
        <w:trPr>
          <w:trHeight w:val="223"/>
        </w:trPr>
        <w:tc>
          <w:tcPr>
            <w:tcW w:w="120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J</w:t>
            </w:r>
          </w:p>
        </w:tc>
        <w:tc>
          <w:tcPr>
            <w:tcW w:w="14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Is the amount in row A equal to or greater than the amount in row</w:t>
            </w:r>
          </w:p>
        </w:tc>
        <w:tc>
          <w:tcPr>
            <w:tcW w:w="12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[Yes]</w:t>
            </w:r>
          </w:p>
        </w:tc>
        <w:tc>
          <w:tcPr>
            <w:tcW w:w="262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If yes, in compliance. If no,</w:t>
            </w:r>
          </w:p>
        </w:tc>
      </w:tr>
      <w:tr>
        <w:trPr>
          <w:trHeight w:val="283"/>
        </w:trPr>
        <w:tc>
          <w:tcPr>
            <w:tcW w:w="120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w:t>
            </w:r>
          </w:p>
        </w:tc>
        <w:tc>
          <w:tcPr>
            <w:tcW w:w="2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not in compliance.</w:t>
            </w:r>
          </w:p>
        </w:tc>
      </w:tr>
      <w:tr>
        <w:trPr>
          <w:trHeight w:val="497"/>
        </w:trPr>
        <w:tc>
          <w:tcPr>
            <w:tcW w:w="12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r>
        <w:trPr>
          <w:trHeight w:val="206"/>
        </w:trPr>
        <w:tc>
          <w:tcPr>
            <w:tcW w:w="1200" w:type="dxa"/>
            <w:vAlign w:val="bottom"/>
            <w:tcBorders>
              <w:left w:val="single" w:sz="8" w:color="auto"/>
              <w:right w:val="single" w:sz="8" w:color="auto"/>
            </w:tcBorders>
          </w:tcPr>
          <w:p>
            <w:pPr>
              <w:ind w:left="120"/>
              <w:spacing w:after="0" w:line="206" w:lineRule="exact"/>
              <w:rPr>
                <w:sz w:val="20"/>
                <w:szCs w:val="20"/>
                <w:color w:val="auto"/>
              </w:rPr>
            </w:pPr>
            <w:r>
              <w:rPr>
                <w:rFonts w:ascii="Times New Roman" w:cs="Times New Roman" w:eastAsia="Times New Roman" w:hAnsi="Times New Roman"/>
                <w:sz w:val="22"/>
                <w:szCs w:val="22"/>
                <w:color w:val="auto"/>
              </w:rPr>
              <w:t>7.22(a)(ii)</w:t>
            </w:r>
          </w:p>
        </w:tc>
        <w:tc>
          <w:tcPr>
            <w:tcW w:w="6140" w:type="dxa"/>
            <w:vAlign w:val="bottom"/>
            <w:tcBorders>
              <w:right w:val="single" w:sz="8" w:color="auto"/>
            </w:tcBorders>
            <w:gridSpan w:val="2"/>
          </w:tcPr>
          <w:p>
            <w:pPr>
              <w:ind w:left="80"/>
              <w:spacing w:after="0" w:line="206" w:lineRule="exact"/>
              <w:rPr>
                <w:sz w:val="20"/>
                <w:szCs w:val="20"/>
                <w:color w:val="auto"/>
              </w:rPr>
            </w:pPr>
            <w:r>
              <w:rPr>
                <w:rFonts w:ascii="Times New Roman" w:cs="Times New Roman" w:eastAsia="Times New Roman" w:hAnsi="Times New Roman"/>
                <w:sz w:val="22"/>
                <w:szCs w:val="22"/>
                <w:color w:val="auto"/>
              </w:rPr>
              <w:t>Has Borrower made a redemption or any other cash payment in</w:t>
            </w:r>
          </w:p>
        </w:tc>
        <w:tc>
          <w:tcPr>
            <w:tcW w:w="40" w:type="dxa"/>
            <w:vAlign w:val="bottom"/>
          </w:tcPr>
          <w:p>
            <w:pPr>
              <w:spacing w:after="0"/>
              <w:rPr>
                <w:sz w:val="17"/>
                <w:szCs w:val="17"/>
                <w:color w:val="auto"/>
              </w:rPr>
            </w:pPr>
          </w:p>
        </w:tc>
        <w:tc>
          <w:tcPr>
            <w:tcW w:w="1240" w:type="dxa"/>
            <w:vAlign w:val="bottom"/>
            <w:tcBorders>
              <w:right w:val="single" w:sz="8" w:color="auto"/>
            </w:tcBorders>
          </w:tcPr>
          <w:p>
            <w:pPr>
              <w:ind w:left="40"/>
              <w:spacing w:after="0" w:line="206" w:lineRule="exact"/>
              <w:rPr>
                <w:sz w:val="20"/>
                <w:szCs w:val="20"/>
                <w:color w:val="auto"/>
              </w:rPr>
            </w:pPr>
            <w:r>
              <w:rPr>
                <w:rFonts w:ascii="Times New Roman" w:cs="Times New Roman" w:eastAsia="Times New Roman" w:hAnsi="Times New Roman"/>
                <w:sz w:val="22"/>
                <w:szCs w:val="22"/>
                <w:color w:val="auto"/>
              </w:rPr>
              <w:t>[Yes]</w:t>
            </w:r>
          </w:p>
        </w:tc>
        <w:tc>
          <w:tcPr>
            <w:tcW w:w="2620" w:type="dxa"/>
            <w:vAlign w:val="bottom"/>
            <w:tcBorders>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2"/>
                <w:szCs w:val="22"/>
                <w:color w:val="auto"/>
              </w:rPr>
              <w:t>If no, do not complete any</w:t>
            </w: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614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respect of Permitted Convertible Debt?</w:t>
            </w:r>
          </w:p>
        </w:tc>
        <w:tc>
          <w:tcPr>
            <w:tcW w:w="40" w:type="dxa"/>
            <w:vAlign w:val="bottom"/>
          </w:tcPr>
          <w:p>
            <w:pPr>
              <w:spacing w:after="0"/>
              <w:rPr>
                <w:sz w:val="21"/>
                <w:szCs w:val="21"/>
                <w:color w:val="auto"/>
              </w:rPr>
            </w:pPr>
          </w:p>
        </w:tc>
        <w:tc>
          <w:tcPr>
            <w:tcW w:w="124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[No]</w:t>
            </w:r>
          </w:p>
        </w:tc>
        <w:tc>
          <w:tcPr>
            <w:tcW w:w="26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further portion of this</w:t>
            </w:r>
          </w:p>
        </w:tc>
      </w:tr>
      <w:tr>
        <w:trPr>
          <w:trHeight w:val="301"/>
        </w:trPr>
        <w:tc>
          <w:tcPr>
            <w:tcW w:w="12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7.22(a)(ii) worksheet.</w:t>
            </w:r>
          </w:p>
        </w:tc>
      </w:tr>
      <w:tr>
        <w:trPr>
          <w:trHeight w:val="247"/>
        </w:trPr>
        <w:tc>
          <w:tcPr>
            <w:tcW w:w="120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A</w:t>
            </w:r>
          </w:p>
        </w:tc>
        <w:tc>
          <w:tcPr>
            <w:tcW w:w="6140" w:type="dxa"/>
            <w:vAlign w:val="bottom"/>
            <w:tcBorders>
              <w:bottom w:val="single" w:sz="8" w:color="auto"/>
              <w:right w:val="single" w:sz="8" w:color="auto"/>
            </w:tcBorders>
            <w:gridSpan w:val="2"/>
          </w:tcPr>
          <w:p>
            <w:pPr>
              <w:ind w:left="80"/>
              <w:spacing w:after="0" w:line="247" w:lineRule="exact"/>
              <w:rPr>
                <w:sz w:val="20"/>
                <w:szCs w:val="20"/>
                <w:color w:val="auto"/>
              </w:rPr>
            </w:pPr>
            <w:r>
              <w:rPr>
                <w:rFonts w:ascii="Times New Roman" w:cs="Times New Roman" w:eastAsia="Times New Roman" w:hAnsi="Times New Roman"/>
                <w:sz w:val="22"/>
                <w:szCs w:val="22"/>
                <w:color w:val="auto"/>
              </w:rPr>
              <w:t>If yes, amount of Qualified Cash maintained by Borrower:</w:t>
            </w:r>
          </w:p>
        </w:tc>
        <w:tc>
          <w:tcPr>
            <w:tcW w:w="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$_____</w:t>
            </w:r>
          </w:p>
        </w:tc>
        <w:tc>
          <w:tcPr>
            <w:tcW w:w="2620" w:type="dxa"/>
            <w:vAlign w:val="bottom"/>
            <w:tcBorders>
              <w:bottom w:val="single" w:sz="8" w:color="auto"/>
              <w:right w:val="single" w:sz="8" w:color="auto"/>
            </w:tcBorders>
          </w:tcPr>
          <w:p>
            <w:pPr>
              <w:spacing w:after="0"/>
              <w:rPr>
                <w:sz w:val="21"/>
                <w:szCs w:val="21"/>
                <w:color w:val="auto"/>
              </w:rPr>
            </w:pPr>
          </w:p>
        </w:tc>
      </w:tr>
      <w:tr>
        <w:trPr>
          <w:trHeight w:val="223"/>
        </w:trPr>
        <w:tc>
          <w:tcPr>
            <w:tcW w:w="120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w:t>
            </w:r>
          </w:p>
        </w:tc>
        <w:tc>
          <w:tcPr>
            <w:tcW w:w="6140" w:type="dxa"/>
            <w:vAlign w:val="bottom"/>
            <w:tcBorders>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2"/>
                <w:szCs w:val="22"/>
                <w:color w:val="auto"/>
              </w:rPr>
              <w:t>Aggregate outstanding amount of the Secured Obligations plus the</w:t>
            </w:r>
          </w:p>
        </w:tc>
        <w:tc>
          <w:tcPr>
            <w:tcW w:w="40" w:type="dxa"/>
            <w:vAlign w:val="bottom"/>
          </w:tcPr>
          <w:p>
            <w:pPr>
              <w:spacing w:after="0"/>
              <w:rPr>
                <w:sz w:val="19"/>
                <w:szCs w:val="19"/>
                <w:color w:val="auto"/>
              </w:rPr>
            </w:pPr>
          </w:p>
        </w:tc>
        <w:tc>
          <w:tcPr>
            <w:tcW w:w="1240" w:type="dxa"/>
            <w:vAlign w:val="bottom"/>
            <w:tcBorders>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$_____</w:t>
            </w:r>
          </w:p>
        </w:tc>
        <w:tc>
          <w:tcPr>
            <w:tcW w:w="2620" w:type="dxa"/>
            <w:vAlign w:val="bottom"/>
            <w:tcBorders>
              <w:right w:val="single" w:sz="8" w:color="auto"/>
            </w:tcBorders>
          </w:tcPr>
          <w:p>
            <w:pPr>
              <w:spacing w:after="0"/>
              <w:rPr>
                <w:sz w:val="19"/>
                <w:szCs w:val="19"/>
                <w:color w:val="auto"/>
              </w:rPr>
            </w:pPr>
          </w:p>
        </w:tc>
      </w:tr>
      <w:tr>
        <w:trPr>
          <w:trHeight w:val="283"/>
        </w:trPr>
        <w:tc>
          <w:tcPr>
            <w:tcW w:w="1200" w:type="dxa"/>
            <w:vAlign w:val="bottom"/>
            <w:tcBorders>
              <w:left w:val="single" w:sz="8" w:color="auto"/>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Qualified Cash A/P Amount:</w:t>
            </w: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654"/>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40" w:type="dxa"/>
            <w:vAlign w:val="bottom"/>
            <w:gridSpan w:val="2"/>
          </w:tcPr>
          <w:p>
            <w:pPr>
              <w:ind w:left="3780"/>
              <w:spacing w:after="0"/>
              <w:rPr>
                <w:sz w:val="20"/>
                <w:szCs w:val="20"/>
                <w:color w:val="auto"/>
              </w:rPr>
            </w:pPr>
            <w:r>
              <w:rPr>
                <w:rFonts w:ascii="Times New Roman" w:cs="Times New Roman" w:eastAsia="Times New Roman" w:hAnsi="Times New Roman"/>
                <w:sz w:val="22"/>
                <w:szCs w:val="22"/>
                <w:color w:val="auto"/>
              </w:rPr>
              <w:t>Exhibit E-4</w:t>
            </w:r>
          </w:p>
        </w:tc>
        <w:tc>
          <w:tcPr>
            <w:tcW w:w="12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51"/>
        </w:trPr>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46"/>
        </w:trPr>
        <w:tc>
          <w:tcPr>
            <w:tcW w:w="1180" w:type="dxa"/>
            <w:vAlign w:val="bottom"/>
            <w:tcBorders>
              <w:top w:val="single" w:sz="8" w:color="auto"/>
              <w:left w:val="single" w:sz="8" w:color="auto"/>
              <w:right w:val="single" w:sz="8" w:color="auto"/>
            </w:tcBorders>
          </w:tcPr>
          <w:p>
            <w:pPr>
              <w:ind w:left="120"/>
              <w:spacing w:after="0" w:line="246" w:lineRule="exact"/>
              <w:rPr>
                <w:sz w:val="20"/>
                <w:szCs w:val="20"/>
                <w:color w:val="auto"/>
              </w:rPr>
            </w:pPr>
            <w:r>
              <w:rPr>
                <w:rFonts w:ascii="Times New Roman" w:cs="Times New Roman" w:eastAsia="Times New Roman" w:hAnsi="Times New Roman"/>
                <w:sz w:val="22"/>
                <w:szCs w:val="22"/>
                <w:color w:val="auto"/>
              </w:rPr>
              <w:t>C</w:t>
            </w:r>
          </w:p>
        </w:tc>
        <w:tc>
          <w:tcPr>
            <w:tcW w:w="6160" w:type="dxa"/>
            <w:vAlign w:val="bottom"/>
            <w:tcBorders>
              <w:top w:val="single" w:sz="8" w:color="auto"/>
              <w:right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Is the amount in row A at least 150% of the amount in row B?</w:t>
            </w:r>
          </w:p>
        </w:tc>
        <w:tc>
          <w:tcPr>
            <w:tcW w:w="1260" w:type="dxa"/>
            <w:vAlign w:val="bottom"/>
            <w:tcBorders>
              <w:top w:val="single" w:sz="8" w:color="auto"/>
              <w:right w:val="single" w:sz="8" w:color="auto"/>
            </w:tcBorders>
          </w:tcPr>
          <w:p>
            <w:pPr>
              <w:ind w:left="80"/>
              <w:spacing w:after="0" w:line="246" w:lineRule="exact"/>
              <w:rPr>
                <w:sz w:val="20"/>
                <w:szCs w:val="20"/>
                <w:color w:val="auto"/>
              </w:rPr>
            </w:pPr>
            <w:r>
              <w:rPr>
                <w:rFonts w:ascii="Times New Roman" w:cs="Times New Roman" w:eastAsia="Times New Roman" w:hAnsi="Times New Roman"/>
                <w:sz w:val="22"/>
                <w:szCs w:val="22"/>
                <w:color w:val="auto"/>
              </w:rPr>
              <w:t>[Yes]</w:t>
            </w:r>
          </w:p>
        </w:tc>
        <w:tc>
          <w:tcPr>
            <w:tcW w:w="2640" w:type="dxa"/>
            <w:vAlign w:val="bottom"/>
            <w:tcBorders>
              <w:top w:val="single" w:sz="8" w:color="auto"/>
              <w:right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If yes, in compliance. If no,</w:t>
            </w:r>
          </w:p>
        </w:tc>
      </w:tr>
      <w:tr>
        <w:trPr>
          <w:trHeight w:val="281"/>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61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w:t>
            </w:r>
          </w:p>
        </w:tc>
        <w:tc>
          <w:tcPr>
            <w:tcW w:w="2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not in compliance.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2"/>
          <w:szCs w:val="22"/>
          <w:b w:val="1"/>
          <w:bCs w:val="1"/>
          <w:color w:val="auto"/>
        </w:rPr>
        <w:t>ANNEX 2</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CURRENT COMPANY IP</w:t>
      </w:r>
    </w:p>
    <w:p>
      <w:pPr>
        <w:spacing w:after="0" w:line="210" w:lineRule="exact"/>
        <w:rPr>
          <w:sz w:val="20"/>
          <w:szCs w:val="20"/>
          <w:color w:val="auto"/>
        </w:rPr>
      </w:pPr>
    </w:p>
    <w:p>
      <w:pPr>
        <w:ind w:left="760" w:right="60" w:hanging="752"/>
        <w:spacing w:after="0" w:line="258"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most recently delivered Compliance Certificate, the following claim(s) have been made to Borrower in writing that material part(s) of the Current Company IP infringes or violates the rights of a third party:</w:t>
      </w:r>
    </w:p>
    <w:p>
      <w:pPr>
        <w:spacing w:after="0" w:line="17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8"/>
          <w:szCs w:val="28"/>
          <w:color w:val="auto"/>
          <w:vertAlign w:val="superscript"/>
        </w:rPr>
        <w:t>3</w:t>
      </w:r>
    </w:p>
    <w:p>
      <w:pPr>
        <w:spacing w:after="0" w:line="137" w:lineRule="exact"/>
        <w:rPr>
          <w:rFonts w:ascii="Times New Roman" w:cs="Times New Roman" w:eastAsia="Times New Roman" w:hAnsi="Times New Roman"/>
          <w:sz w:val="22"/>
          <w:szCs w:val="22"/>
          <w:color w:val="auto"/>
        </w:rPr>
      </w:pPr>
    </w:p>
    <w:p>
      <w:pPr>
        <w:ind w:left="760" w:right="620" w:hanging="752"/>
        <w:spacing w:after="0" w:line="258"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most recently delivered Compliance Certificate, the following Specified Dispute(s) have been alleged or threatened in writing to Borrower or any of its Subsidiaries:</w:t>
      </w:r>
    </w:p>
    <w:p>
      <w:pPr>
        <w:spacing w:after="0" w:line="17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8"/>
          <w:szCs w:val="2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168846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8"/>
        <w:spacing w:after="0" w:line="223" w:lineRule="auto"/>
        <w:tabs>
          <w:tab w:leader="none" w:pos="117" w:val="left"/>
        </w:tabs>
        <w:numPr>
          <w:ilvl w:val="0"/>
          <w:numId w:val="9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List any claim(s) have been made to any Borrower in writing that any material part of the Current Company IP violates the rights of any third party. If none, write “none.”</w:t>
      </w:r>
    </w:p>
    <w:p>
      <w:pPr>
        <w:spacing w:after="0" w:line="51" w:lineRule="exact"/>
        <w:rPr>
          <w:sz w:val="20"/>
          <w:szCs w:val="20"/>
          <w:color w:val="auto"/>
        </w:rPr>
      </w:pPr>
    </w:p>
    <w:p>
      <w:pPr>
        <w:ind w:firstLine="8"/>
        <w:spacing w:after="0" w:line="223" w:lineRule="auto"/>
        <w:tabs>
          <w:tab w:leader="none" w:pos="107"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List any Specified Dispute(s) have been alleged or threatened in writing, in each case challenging the legality, validity, enforceability or ownership of any Current Company IP, in each case that would have a material adverse effect on the Products. If none, write “none.”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color w:val="auto"/>
        </w:rPr>
        <w:t>ANNEX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CALCULATIONS OF COMPLIANCE WITH SECTION 7.12</w:t>
      </w:r>
    </w:p>
    <w:p>
      <w:pPr>
        <w:spacing w:after="0" w:line="210"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any single Excluded Subsidiary hold cash and cash equivalents greater than $2,000,000 in the aggregate?</w:t>
      </w:r>
    </w:p>
    <w:p>
      <w:pPr>
        <w:spacing w:after="0" w:line="20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1"/>
          <w:szCs w:val="21"/>
          <w:color w:val="auto"/>
        </w:rPr>
        <w:t>____ Yes (not in compliance) ____ No (in compliance)</w:t>
      </w:r>
    </w:p>
    <w:p>
      <w:pPr>
        <w:spacing w:after="0" w:line="218"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the aggregate amount of cash and cash equivalents held by all Excluded Subsidiaries less than or equal to $3,000,000?</w:t>
      </w:r>
    </w:p>
    <w:p>
      <w:pPr>
        <w:spacing w:after="0" w:line="217" w:lineRule="exact"/>
        <w:rPr>
          <w:rFonts w:ascii="Times New Roman" w:cs="Times New Roman" w:eastAsia="Times New Roman" w:hAnsi="Times New Roman"/>
          <w:sz w:val="21"/>
          <w:szCs w:val="21"/>
          <w:color w:val="auto"/>
        </w:rPr>
      </w:pPr>
    </w:p>
    <w:p>
      <w:pPr>
        <w:ind w:left="6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 Yes (not in compliance) ____ No (in compliance)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yes to any of the above: Please list such Subsidiaries and indicate whether a Joinder will be provided for such</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Subsidiary: [ ● ]</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3" w:name="page104"/>
    <w:bookmarkEnd w:id="103"/>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ANNEX 4</w:t>
      </w:r>
    </w:p>
    <w:p>
      <w:pPr>
        <w:spacing w:after="0" w:line="1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MSC SUBSIDIARY AND MSC INVESTMENT CONDITIONS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Does the MSC Subsidiary have any assets or liabilities?</w:t>
            </w:r>
          </w:p>
        </w:tc>
        <w:tc>
          <w:tcPr>
            <w:tcW w:w="36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____ Yes</w:t>
            </w:r>
          </w:p>
        </w:tc>
      </w:tr>
      <w:tr>
        <w:trPr>
          <w:trHeight w:val="486"/>
        </w:trPr>
        <w:tc>
          <w:tcPr>
            <w:tcW w:w="5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____ No</w:t>
            </w:r>
          </w:p>
        </w:tc>
      </w:tr>
      <w:tr>
        <w:trPr>
          <w:trHeight w:val="339"/>
        </w:trPr>
        <w:tc>
          <w:tcPr>
            <w:tcW w:w="6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Is the aggregate amount of the consolidated cash of Borrower and its</w:t>
            </w:r>
          </w:p>
        </w:tc>
        <w:tc>
          <w:tcPr>
            <w:tcW w:w="36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____ Yes (please complete below chart)</w:t>
            </w:r>
          </w:p>
        </w:tc>
      </w:t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Subsidiaries equal to or less than $150,000,000?</w:t>
            </w: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86"/>
        </w:trPr>
        <w:tc>
          <w:tcPr>
            <w:tcW w:w="5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____ No</w:t>
            </w:r>
          </w:p>
        </w:tc>
      </w:tr>
      <w:tr>
        <w:trPr>
          <w:trHeight w:val="985"/>
        </w:trPr>
        <w:tc>
          <w:tcPr>
            <w:tcW w:w="9740" w:type="dxa"/>
            <w:vAlign w:val="bottom"/>
            <w:gridSpan w:val="3"/>
          </w:tcPr>
          <w:p>
            <w:pPr>
              <w:ind w:left="3800"/>
              <w:spacing w:after="0"/>
              <w:rPr>
                <w:sz w:val="20"/>
                <w:szCs w:val="20"/>
                <w:color w:val="auto"/>
              </w:rPr>
            </w:pPr>
            <w:r>
              <w:rPr>
                <w:rFonts w:ascii="Times New Roman" w:cs="Times New Roman" w:eastAsia="Times New Roman" w:hAnsi="Times New Roman"/>
                <w:sz w:val="22"/>
                <w:szCs w:val="22"/>
                <w:b w:val="1"/>
                <w:bCs w:val="1"/>
                <w:color w:val="auto"/>
              </w:rPr>
              <w:t>MSC INVESTMENT CONDITIONS</w:t>
            </w:r>
          </w:p>
        </w:tc>
      </w:tr>
      <w:tr>
        <w:trPr>
          <w:trHeight w:val="433"/>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(1) Aggregate amount of Borrower’s cash and cash equivalents</w:t>
            </w: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 ]</w:t>
            </w:r>
          </w:p>
        </w:tc>
      </w:t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held in accounts subject to an Account Control Agreement:</w:t>
            </w: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60"/>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(2) Aggregate amount of outstanding Secured Obligations</w:t>
            </w: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 ]</w:t>
            </w:r>
          </w:p>
        </w:tc>
      </w:tr>
      <w:tr>
        <w:trPr>
          <w:trHeight w:val="243"/>
        </w:trPr>
        <w:tc>
          <w:tcPr>
            <w:tcW w:w="5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(including any Prepayment Charge and End of Term Charge if</w:t>
            </w:r>
          </w:p>
        </w:tc>
        <w:tc>
          <w:tcPr>
            <w:tcW w:w="3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outstanding Term Loan Advances were prepaid at this time):</w:t>
            </w: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3"/>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(3) Aggregate amount of the consolidated Cash of Borrower and</w:t>
            </w: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 ]</w:t>
            </w: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its Subsidiaries (other than Cash held in Excluded Accounts):</w:t>
            </w:r>
          </w:p>
        </w:tc>
        <w:tc>
          <w:tcPr>
            <w:tcW w:w="3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(4) Amount of the lesser of line (2) and line (3):</w:t>
            </w: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 ]</w:t>
            </w:r>
          </w:p>
        </w:tc>
      </w:t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Is line (1) equal to or greater than line (4)?</w:t>
            </w: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_____ Yes (in compliance)</w:t>
            </w:r>
          </w:p>
        </w:tc>
      </w:tr>
      <w:tr>
        <w:trPr>
          <w:trHeight w:val="310"/>
        </w:trPr>
        <w:tc>
          <w:tcPr>
            <w:tcW w:w="5760" w:type="dxa"/>
            <w:vAlign w:val="bottom"/>
          </w:tcPr>
          <w:p>
            <w:pPr>
              <w:spacing w:after="0"/>
              <w:rPr>
                <w:sz w:val="24"/>
                <w:szCs w:val="24"/>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_____ No ( not in compliance)]</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Exhibit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04" w:right="1440"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322"/>
        </w:trPr>
        <w:tc>
          <w:tcPr>
            <w:tcW w:w="3780" w:type="dxa"/>
            <w:vAlign w:val="bottom"/>
          </w:tcPr>
          <w:p>
            <w:pPr>
              <w:spacing w:after="0"/>
              <w:rPr>
                <w:sz w:val="24"/>
                <w:szCs w:val="24"/>
                <w:color w:val="auto"/>
              </w:rPr>
            </w:pPr>
          </w:p>
        </w:tc>
        <w:tc>
          <w:tcPr>
            <w:tcW w:w="6800" w:type="dxa"/>
            <w:vAlign w:val="bottom"/>
          </w:tcPr>
          <w:p>
            <w:pPr>
              <w:jc w:val="center"/>
              <w:ind w:right="3012"/>
              <w:spacing w:after="0"/>
              <w:rPr>
                <w:sz w:val="20"/>
                <w:szCs w:val="20"/>
                <w:color w:val="auto"/>
              </w:rPr>
            </w:pPr>
            <w:r>
              <w:rPr>
                <w:rFonts w:ascii="Times New Roman" w:cs="Times New Roman" w:eastAsia="Times New Roman" w:hAnsi="Times New Roman"/>
                <w:sz w:val="28"/>
                <w:szCs w:val="28"/>
                <w:b w:val="1"/>
                <w:bCs w:val="1"/>
                <w:color w:val="auto"/>
                <w:w w:val="96"/>
                <w:vertAlign w:val="superscript"/>
              </w:rPr>
              <w:t>5</w:t>
            </w:r>
            <w:r>
              <w:rPr>
                <w:rFonts w:ascii="Times New Roman" w:cs="Times New Roman" w:eastAsia="Times New Roman" w:hAnsi="Times New Roman"/>
                <w:sz w:val="22"/>
                <w:szCs w:val="22"/>
                <w:b w:val="1"/>
                <w:bCs w:val="1"/>
                <w:color w:val="auto"/>
                <w:w w:val="96"/>
              </w:rPr>
              <w:t>[ANNEX 5</w:t>
            </w:r>
          </w:p>
        </w:tc>
      </w:tr>
      <w:tr>
        <w:trPr>
          <w:trHeight w:val="286"/>
        </w:trPr>
        <w:tc>
          <w:tcPr>
            <w:tcW w:w="3780" w:type="dxa"/>
            <w:vAlign w:val="bottom"/>
          </w:tcPr>
          <w:p>
            <w:pPr>
              <w:spacing w:after="0"/>
              <w:rPr>
                <w:sz w:val="24"/>
                <w:szCs w:val="24"/>
                <w:color w:val="auto"/>
              </w:rPr>
            </w:pPr>
          </w:p>
        </w:tc>
        <w:tc>
          <w:tcPr>
            <w:tcW w:w="6800" w:type="dxa"/>
            <w:vAlign w:val="bottom"/>
          </w:tcPr>
          <w:p>
            <w:pPr>
              <w:jc w:val="center"/>
              <w:ind w:right="2992"/>
              <w:spacing w:after="0"/>
              <w:rPr>
                <w:sz w:val="20"/>
                <w:szCs w:val="20"/>
                <w:color w:val="auto"/>
              </w:rPr>
            </w:pPr>
            <w:r>
              <w:rPr>
                <w:rFonts w:ascii="Times New Roman" w:cs="Times New Roman" w:eastAsia="Times New Roman" w:hAnsi="Times New Roman"/>
                <w:sz w:val="22"/>
                <w:szCs w:val="22"/>
                <w:b w:val="1"/>
                <w:bCs w:val="1"/>
                <w:color w:val="auto"/>
                <w:w w:val="98"/>
              </w:rPr>
              <w:t>to Compliance Certificate</w:t>
            </w:r>
          </w:p>
        </w:tc>
      </w:tr>
      <w:tr>
        <w:trPr>
          <w:trHeight w:val="459"/>
        </w:trPr>
        <w:tc>
          <w:tcPr>
            <w:tcW w:w="3780" w:type="dxa"/>
            <w:vAlign w:val="bottom"/>
          </w:tcPr>
          <w:p>
            <w:pPr>
              <w:spacing w:after="0"/>
              <w:rPr>
                <w:sz w:val="24"/>
                <w:szCs w:val="24"/>
                <w:color w:val="auto"/>
              </w:rPr>
            </w:pPr>
          </w:p>
        </w:tc>
        <w:tc>
          <w:tcPr>
            <w:tcW w:w="6800" w:type="dxa"/>
            <w:vAlign w:val="bottom"/>
          </w:tcPr>
          <w:p>
            <w:pPr>
              <w:jc w:val="center"/>
              <w:ind w:right="3012"/>
              <w:spacing w:after="0"/>
              <w:rPr>
                <w:sz w:val="20"/>
                <w:szCs w:val="20"/>
                <w:color w:val="auto"/>
              </w:rPr>
            </w:pPr>
            <w:r>
              <w:rPr>
                <w:rFonts w:ascii="Times New Roman" w:cs="Times New Roman" w:eastAsia="Times New Roman" w:hAnsi="Times New Roman"/>
                <w:sz w:val="22"/>
                <w:szCs w:val="22"/>
                <w:b w:val="1"/>
                <w:bCs w:val="1"/>
                <w:color w:val="auto"/>
                <w:w w:val="97"/>
              </w:rPr>
              <w:t>Part A - Subsidiaries</w:t>
            </w:r>
          </w:p>
        </w:tc>
      </w:tr>
      <w:tr>
        <w:trPr>
          <w:trHeight w:val="241"/>
        </w:trPr>
        <w:tc>
          <w:tcPr>
            <w:tcW w:w="378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r>
      <w:tr>
        <w:trPr>
          <w:trHeight w:val="244"/>
        </w:trPr>
        <w:tc>
          <w:tcPr>
            <w:tcW w:w="3780" w:type="dxa"/>
            <w:vAlign w:val="bottom"/>
            <w:tcBorders>
              <w:left w:val="single" w:sz="8" w:color="auto"/>
              <w:bottom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2"/>
                <w:szCs w:val="22"/>
                <w:b w:val="1"/>
                <w:bCs w:val="1"/>
                <w:color w:val="auto"/>
              </w:rPr>
              <w:t>Borrower</w:t>
            </w:r>
          </w:p>
        </w:tc>
        <w:tc>
          <w:tcPr>
            <w:tcW w:w="6800" w:type="dxa"/>
            <w:vAlign w:val="bottom"/>
            <w:tcBorders>
              <w:bottom w:val="single" w:sz="8" w:color="auto"/>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2"/>
                <w:szCs w:val="22"/>
                <w:b w:val="1"/>
                <w:bCs w:val="1"/>
                <w:color w:val="auto"/>
              </w:rPr>
              <w:t>Subsidiary</w:t>
            </w:r>
          </w:p>
        </w:tc>
      </w:tr>
      <w:tr>
        <w:trPr>
          <w:trHeight w:val="262"/>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6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Disc Medicine Opco, Inc., a Delaware corporation</w:t>
            </w:r>
          </w:p>
        </w:tc>
      </w:tr>
      <w:tr>
        <w:trPr>
          <w:trHeight w:val="254"/>
        </w:trPr>
        <w:tc>
          <w:tcPr>
            <w:tcW w:w="3780" w:type="dxa"/>
            <w:vAlign w:val="bottom"/>
            <w:tcBorders>
              <w:left w:val="single" w:sz="8" w:color="auto"/>
              <w:bottom w:val="single" w:sz="8" w:color="auto"/>
              <w:right w:val="single" w:sz="8" w:color="auto"/>
            </w:tcBorders>
          </w:tcPr>
          <w:p>
            <w:pPr>
              <w:spacing w:after="0"/>
              <w:rPr>
                <w:sz w:val="22"/>
                <w:szCs w:val="22"/>
                <w:color w:val="auto"/>
              </w:rPr>
            </w:pPr>
          </w:p>
        </w:tc>
        <w:tc>
          <w:tcPr>
            <w:tcW w:w="6800" w:type="dxa"/>
            <w:vAlign w:val="bottom"/>
            <w:tcBorders>
              <w:bottom w:val="single" w:sz="8" w:color="auto"/>
              <w:right w:val="single" w:sz="8" w:color="auto"/>
            </w:tcBorders>
          </w:tcPr>
          <w:p>
            <w:pPr>
              <w:spacing w:after="0"/>
              <w:rPr>
                <w:sz w:val="22"/>
                <w:szCs w:val="22"/>
                <w:color w:val="auto"/>
              </w:rPr>
            </w:pPr>
          </w:p>
        </w:tc>
      </w:tr>
      <w:tr>
        <w:trPr>
          <w:trHeight w:val="263"/>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Disc Medicine Opco, Inc.</w:t>
            </w: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Disc Medicine Securities Corp, a Massachusetts security corporation</w:t>
            </w:r>
          </w:p>
        </w:tc>
      </w:tr>
      <w:tr>
        <w:trPr>
          <w:trHeight w:val="263"/>
        </w:trPr>
        <w:tc>
          <w:tcPr>
            <w:tcW w:w="3780" w:type="dxa"/>
            <w:vAlign w:val="bottom"/>
            <w:tcBorders>
              <w:left w:val="single" w:sz="8" w:color="auto"/>
              <w:right w:val="single" w:sz="8" w:color="auto"/>
            </w:tcBorders>
          </w:tcPr>
          <w:p>
            <w:pPr>
              <w:spacing w:after="0"/>
              <w:rPr>
                <w:sz w:val="22"/>
                <w:szCs w:val="22"/>
                <w:color w:val="auto"/>
              </w:rPr>
            </w:pP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Disc Medicine B.V.</w:t>
            </w:r>
          </w:p>
        </w:tc>
      </w:tr>
      <w:tr>
        <w:trPr>
          <w:trHeight w:val="264"/>
        </w:trPr>
        <w:tc>
          <w:tcPr>
            <w:tcW w:w="3780" w:type="dxa"/>
            <w:vAlign w:val="bottom"/>
            <w:tcBorders>
              <w:left w:val="single" w:sz="8" w:color="auto"/>
              <w:bottom w:val="single" w:sz="8" w:color="auto"/>
              <w:right w:val="single" w:sz="8" w:color="auto"/>
            </w:tcBorders>
          </w:tcPr>
          <w:p>
            <w:pPr>
              <w:spacing w:after="0"/>
              <w:rPr>
                <w:sz w:val="22"/>
                <w:szCs w:val="22"/>
                <w:color w:val="auto"/>
              </w:rPr>
            </w:pPr>
          </w:p>
        </w:tc>
        <w:tc>
          <w:tcPr>
            <w:tcW w:w="6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Disc Medicine Pty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68846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firstLine="8"/>
        <w:spacing w:after="0" w:line="224" w:lineRule="auto"/>
        <w:tabs>
          <w:tab w:leader="none" w:pos="111" w:val="left"/>
        </w:tabs>
        <w:numPr>
          <w:ilvl w:val="0"/>
          <w:numId w:val="9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Attach this Annex [5] only if Part A (</w:t>
      </w:r>
      <w:r>
        <w:rPr>
          <w:rFonts w:ascii="Times New Roman" w:cs="Times New Roman" w:eastAsia="Times New Roman" w:hAnsi="Times New Roman"/>
          <w:sz w:val="18"/>
          <w:szCs w:val="18"/>
          <w:i w:val="1"/>
          <w:iCs w:val="1"/>
          <w:color w:val="auto"/>
        </w:rPr>
        <w:t>list of Subsidiaries</w:t>
      </w:r>
      <w:r>
        <w:rPr>
          <w:rFonts w:ascii="Times New Roman" w:cs="Times New Roman" w:eastAsia="Times New Roman" w:hAnsi="Times New Roman"/>
          <w:sz w:val="18"/>
          <w:szCs w:val="18"/>
          <w:color w:val="auto"/>
        </w:rPr>
        <w:t>) of Schedule 5.14 to the Loan Agreement needs to be updated since the most recently-delivered Schedule 5.14.</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8"/>
          <w:szCs w:val="28"/>
          <w:b w:val="1"/>
          <w:bCs w:val="1"/>
          <w:color w:val="auto"/>
          <w:vertAlign w:val="superscript"/>
        </w:rPr>
        <w:t>6</w:t>
      </w:r>
      <w:r>
        <w:rPr>
          <w:rFonts w:ascii="Times New Roman" w:cs="Times New Roman" w:eastAsia="Times New Roman" w:hAnsi="Times New Roman"/>
          <w:sz w:val="22"/>
          <w:szCs w:val="22"/>
          <w:b w:val="1"/>
          <w:bCs w:val="1"/>
          <w:color w:val="auto"/>
        </w:rPr>
        <w:t>[ANNEX [6]</w:t>
      </w:r>
    </w:p>
    <w:p>
      <w:pPr>
        <w:jc w:val="center"/>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LOCATIONS, AND OTHER INFORMATION FOR BORROWER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Borrower:</w:t>
            </w:r>
          </w:p>
        </w:tc>
        <w:tc>
          <w:tcPr>
            <w:tcW w:w="37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w:t>
            </w:r>
          </w:p>
        </w:tc>
        <w:tc>
          <w:tcPr>
            <w:tcW w:w="37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Disc Medicine Opco, Inc.</w:t>
            </w:r>
          </w:p>
        </w:tc>
      </w:tr>
      <w:tr>
        <w:trPr>
          <w:trHeight w:val="247"/>
        </w:trPr>
        <w:tc>
          <w:tcPr>
            <w:tcW w:w="40" w:type="dxa"/>
            <w:vAlign w:val="bottom"/>
            <w:tcBorders>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Name:</w:t>
            </w:r>
          </w:p>
        </w:tc>
        <w:tc>
          <w:tcPr>
            <w:tcW w:w="372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Disc Medicine, Inc.</w:t>
            </w:r>
          </w:p>
        </w:tc>
        <w:tc>
          <w:tcPr>
            <w:tcW w:w="374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Disc Medicine Opco, Inc.</w:t>
            </w:r>
          </w:p>
        </w:tc>
      </w:tr>
      <w:tr>
        <w:trPr>
          <w:trHeight w:val="263"/>
        </w:trPr>
        <w:tc>
          <w:tcPr>
            <w:tcW w:w="40" w:type="dxa"/>
            <w:vAlign w:val="bottom"/>
            <w:tcBorders>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Type of organization:</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Corporation</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Corporation</w:t>
            </w:r>
          </w:p>
        </w:tc>
      </w:tr>
      <w:tr>
        <w:trPr>
          <w:trHeight w:val="263"/>
        </w:trPr>
        <w:tc>
          <w:tcPr>
            <w:tcW w:w="40" w:type="dxa"/>
            <w:vAlign w:val="bottom"/>
            <w:tcBorders>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State of organization:</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63"/>
        </w:trPr>
        <w:tc>
          <w:tcPr>
            <w:tcW w:w="40" w:type="dxa"/>
            <w:vAlign w:val="bottom"/>
            <w:tcBorders>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Organization file number: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3130802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6575325</w:t>
            </w:r>
          </w:p>
        </w:tc>
      </w:tr>
      <w:tr>
        <w:trPr>
          <w:trHeight w:val="264"/>
        </w:trPr>
        <w:tc>
          <w:tcPr>
            <w:tcW w:w="40" w:type="dxa"/>
            <w:vAlign w:val="bottom"/>
            <w:tcBorders>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Tax identification number: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85-1612845</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82-3220679</w:t>
            </w:r>
          </w:p>
        </w:tc>
      </w:tr>
      <w:tr>
        <w:trPr>
          <w:trHeight w:val="223"/>
        </w:trPr>
        <w:tc>
          <w:tcPr>
            <w:tcW w:w="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Location of chief executive office:</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321 Arsenal Street, Suite 101</w:t>
            </w:r>
          </w:p>
        </w:tc>
      </w:tr>
      <w:tr>
        <w:trPr>
          <w:trHeight w:val="283"/>
        </w:trPr>
        <w:tc>
          <w:tcPr>
            <w:tcW w:w="4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Watertown, Middlesex, MA, 02472</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Watertown, Middlesex, MA, 02472</w:t>
            </w:r>
          </w:p>
        </w:tc>
      </w:tr>
      <w:tr>
        <w:trPr>
          <w:trHeight w:val="264"/>
        </w:trPr>
        <w:tc>
          <w:tcPr>
            <w:tcW w:w="40" w:type="dxa"/>
            <w:vAlign w:val="bottom"/>
            <w:tcBorders>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Last day of Borrower’s fiscal year:</w:t>
            </w: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December 31</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December 31</w:t>
            </w:r>
          </w:p>
        </w:tc>
      </w:tr>
      <w:tr>
        <w:trPr>
          <w:trHeight w:val="223"/>
        </w:trPr>
        <w:tc>
          <w:tcPr>
            <w:tcW w:w="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Other legal name of Borrower during</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Hindsite Acquisition Corp. (6/25/2020 –</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Disc Medicine, Inc.</w:t>
            </w: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five (5) year period before Closing Date,</w:t>
            </w: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6/29/2020)</w:t>
            </w:r>
          </w:p>
        </w:tc>
        <w:tc>
          <w:tcPr>
            <w:tcW w:w="37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including dates of use:</w:t>
            </w: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FS Development Corp. (6/30/2020 –</w:t>
            </w:r>
          </w:p>
        </w:tc>
        <w:tc>
          <w:tcPr>
            <w:tcW w:w="37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2/4/2021)</w:t>
            </w:r>
          </w:p>
        </w:tc>
        <w:tc>
          <w:tcPr>
            <w:tcW w:w="3740" w:type="dxa"/>
            <w:vAlign w:val="bottom"/>
            <w:tcBorders>
              <w:right w:val="single" w:sz="8" w:color="auto"/>
            </w:tcBorders>
          </w:tcPr>
          <w:p>
            <w:pPr>
              <w:spacing w:after="0"/>
              <w:rPr>
                <w:sz w:val="21"/>
                <w:szCs w:val="2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Gemini Therapeutics, Inc. (2/5/2021 –</w:t>
            </w:r>
          </w:p>
        </w:tc>
        <w:tc>
          <w:tcPr>
            <w:tcW w:w="3740" w:type="dxa"/>
            <w:vAlign w:val="bottom"/>
            <w:tcBorders>
              <w:right w:val="single" w:sz="8" w:color="auto"/>
            </w:tcBorders>
          </w:tcPr>
          <w:p>
            <w:pPr>
              <w:spacing w:after="0"/>
              <w:rPr>
                <w:sz w:val="21"/>
                <w:szCs w:val="2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12/29/2022)</w:t>
            </w: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Other type of organization of Borrower</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during five (5) year period before</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Other state of organization of Borrower</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during five (5) year period before</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Other organization file number of</w:t>
            </w:r>
          </w:p>
        </w:tc>
        <w:tc>
          <w:tcPr>
            <w:tcW w:w="37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None</w:t>
            </w:r>
          </w:p>
        </w:tc>
        <w:tc>
          <w:tcPr>
            <w:tcW w:w="37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None</w:t>
            </w:r>
          </w:p>
        </w:tc>
      </w:tr>
      <w:tr>
        <w:trPr>
          <w:trHeight w:val="243"/>
        </w:trPr>
        <w:tc>
          <w:tcPr>
            <w:tcW w:w="4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Borrower during five (5) year period</w:t>
            </w:r>
          </w:p>
        </w:tc>
        <w:tc>
          <w:tcPr>
            <w:tcW w:w="372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82"/>
        </w:trPr>
        <w:tc>
          <w:tcPr>
            <w:tcW w:w="4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before Closing Date:</w:t>
            </w:r>
          </w:p>
        </w:tc>
        <w:tc>
          <w:tcPr>
            <w:tcW w:w="37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7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16884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0" w:hanging="112"/>
        <w:spacing w:after="0"/>
        <w:tabs>
          <w:tab w:leader="none" w:pos="120"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Attach this Annex [6] only if Exhibit B to the Loan Agreement needs to be updated since the most recently-delivered Exhibit 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8"/>
          <w:szCs w:val="28"/>
          <w:b w:val="1"/>
          <w:bCs w:val="1"/>
          <w:color w:val="auto"/>
          <w:vertAlign w:val="superscript"/>
        </w:rPr>
        <w:t>7</w:t>
      </w:r>
      <w:r>
        <w:rPr>
          <w:rFonts w:ascii="Times New Roman" w:cs="Times New Roman" w:eastAsia="Times New Roman" w:hAnsi="Times New Roman"/>
          <w:sz w:val="22"/>
          <w:szCs w:val="22"/>
          <w:b w:val="1"/>
          <w:bCs w:val="1"/>
          <w:color w:val="auto"/>
        </w:rPr>
        <w:t>[ ANNEX [7]</w:t>
      </w:r>
    </w:p>
    <w:p>
      <w:pPr>
        <w:jc w:val="center"/>
        <w:spacing w:after="0"/>
        <w:rPr>
          <w:sz w:val="20"/>
          <w:szCs w:val="20"/>
          <w:color w:val="auto"/>
        </w:rPr>
      </w:pPr>
      <w:r>
        <w:rPr>
          <w:rFonts w:ascii="Times New Roman" w:cs="Times New Roman" w:eastAsia="Times New Roman" w:hAnsi="Times New Roman"/>
          <w:sz w:val="22"/>
          <w:szCs w:val="22"/>
          <w:b w:val="1"/>
          <w:bCs w:val="1"/>
          <w:color w:val="auto"/>
        </w:rPr>
        <w:t>to Compliance Certificate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DEPOSIT ACCOUNTS AND SECURITIES ACCOUNTS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80" w:type="dxa"/>
            <w:vAlign w:val="bottom"/>
            <w:tcBorders>
              <w:top w:val="single" w:sz="8" w:color="auto"/>
              <w:left w:val="single" w:sz="8" w:color="auto"/>
              <w:right w:val="single" w:sz="8" w:color="auto"/>
            </w:tcBorders>
          </w:tcPr>
          <w:p>
            <w:pPr>
              <w:ind w:left="280"/>
              <w:spacing w:after="0" w:line="242" w:lineRule="exact"/>
              <w:rPr>
                <w:sz w:val="20"/>
                <w:szCs w:val="20"/>
                <w:color w:val="auto"/>
              </w:rPr>
            </w:pPr>
            <w:r>
              <w:rPr>
                <w:rFonts w:ascii="Times New Roman" w:cs="Times New Roman" w:eastAsia="Times New Roman" w:hAnsi="Times New Roman"/>
                <w:sz w:val="22"/>
                <w:szCs w:val="22"/>
                <w:b w:val="1"/>
                <w:bCs w:val="1"/>
                <w:color w:val="auto"/>
              </w:rPr>
              <w:t>Borrower</w:t>
            </w: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right w:val="single" w:sz="8" w:color="auto"/>
            </w:tcBorders>
            <w:gridSpan w:val="2"/>
          </w:tcPr>
          <w:p>
            <w:pPr>
              <w:jc w:val="center"/>
              <w:ind w:right="240"/>
              <w:spacing w:after="0" w:line="242" w:lineRule="exact"/>
              <w:rPr>
                <w:sz w:val="20"/>
                <w:szCs w:val="20"/>
                <w:color w:val="auto"/>
              </w:rPr>
            </w:pPr>
            <w:r>
              <w:rPr>
                <w:rFonts w:ascii="Times New Roman" w:cs="Times New Roman" w:eastAsia="Times New Roman" w:hAnsi="Times New Roman"/>
                <w:sz w:val="22"/>
                <w:szCs w:val="22"/>
                <w:b w:val="1"/>
                <w:bCs w:val="1"/>
                <w:color w:val="auto"/>
                <w:w w:val="97"/>
              </w:rPr>
              <w:t>Type of</w:t>
            </w:r>
          </w:p>
        </w:tc>
        <w:tc>
          <w:tcPr>
            <w:tcW w:w="60" w:type="dxa"/>
            <w:vAlign w:val="bottom"/>
            <w:tcBorders>
              <w:top w:val="single" w:sz="8" w:color="auto"/>
            </w:tcBorders>
          </w:tcPr>
          <w:p>
            <w:pPr>
              <w:spacing w:after="0"/>
              <w:rPr>
                <w:sz w:val="21"/>
                <w:szCs w:val="21"/>
                <w:color w:val="auto"/>
              </w:rPr>
            </w:pPr>
          </w:p>
        </w:tc>
        <w:tc>
          <w:tcPr>
            <w:tcW w:w="1880" w:type="dxa"/>
            <w:vAlign w:val="bottom"/>
            <w:tcBorders>
              <w:top w:val="single" w:sz="8" w:color="auto"/>
              <w:right w:val="single" w:sz="8" w:color="auto"/>
            </w:tcBorders>
          </w:tcPr>
          <w:p>
            <w:pPr>
              <w:ind w:left="380"/>
              <w:spacing w:after="0" w:line="242" w:lineRule="exact"/>
              <w:rPr>
                <w:sz w:val="20"/>
                <w:szCs w:val="20"/>
                <w:color w:val="auto"/>
              </w:rPr>
            </w:pPr>
            <w:r>
              <w:rPr>
                <w:rFonts w:ascii="Times New Roman" w:cs="Times New Roman" w:eastAsia="Times New Roman" w:hAnsi="Times New Roman"/>
                <w:sz w:val="22"/>
                <w:szCs w:val="22"/>
                <w:b w:val="1"/>
                <w:bCs w:val="1"/>
                <w:color w:val="auto"/>
              </w:rPr>
              <w:t>Purpose of</w:t>
            </w:r>
          </w:p>
        </w:tc>
        <w:tc>
          <w:tcPr>
            <w:tcW w:w="182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Account Number</w:t>
            </w:r>
          </w:p>
        </w:tc>
        <w:tc>
          <w:tcPr>
            <w:tcW w:w="1480" w:type="dxa"/>
            <w:vAlign w:val="bottom"/>
            <w:tcBorders>
              <w:top w:val="single" w:sz="8" w:color="auto"/>
              <w:right w:val="single" w:sz="8" w:color="auto"/>
            </w:tcBorders>
          </w:tcPr>
          <w:p>
            <w:pPr>
              <w:ind w:left="260"/>
              <w:spacing w:after="0" w:line="242" w:lineRule="exact"/>
              <w:rPr>
                <w:sz w:val="20"/>
                <w:szCs w:val="20"/>
                <w:color w:val="auto"/>
              </w:rPr>
            </w:pPr>
            <w:r>
              <w:rPr>
                <w:rFonts w:ascii="Times New Roman" w:cs="Times New Roman" w:eastAsia="Times New Roman" w:hAnsi="Times New Roman"/>
                <w:sz w:val="22"/>
                <w:szCs w:val="22"/>
                <w:b w:val="1"/>
                <w:bCs w:val="1"/>
                <w:color w:val="auto"/>
              </w:rPr>
              <w:t>Excluded</w:t>
            </w:r>
          </w:p>
        </w:tc>
        <w:tc>
          <w:tcPr>
            <w:tcW w:w="298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r>
      <w:tr>
        <w:trPr>
          <w:trHeight w:val="243"/>
        </w:trPr>
        <w:tc>
          <w:tcPr>
            <w:tcW w:w="148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right w:val="single" w:sz="8" w:color="auto"/>
            </w:tcBorders>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Account</w:t>
            </w:r>
          </w:p>
        </w:tc>
        <w:tc>
          <w:tcPr>
            <w:tcW w:w="60" w:type="dxa"/>
            <w:vAlign w:val="bottom"/>
          </w:tcPr>
          <w:p>
            <w:pPr>
              <w:spacing w:after="0"/>
              <w:rPr>
                <w:sz w:val="21"/>
                <w:szCs w:val="21"/>
                <w:color w:val="auto"/>
              </w:rPr>
            </w:pP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18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Account?</w:t>
            </w:r>
          </w:p>
        </w:tc>
        <w:tc>
          <w:tcPr>
            <w:tcW w:w="29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Financial Institution</w:t>
            </w:r>
          </w:p>
        </w:tc>
      </w:tr>
      <w:tr>
        <w:trPr>
          <w:trHeight w:val="243"/>
        </w:trPr>
        <w:tc>
          <w:tcPr>
            <w:tcW w:w="1480" w:type="dxa"/>
            <w:vAlign w:val="bottom"/>
            <w:tcBorders>
              <w:left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right w:val="single" w:sz="8" w:color="auto"/>
            </w:tcBorders>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(Deposit,</w:t>
            </w:r>
          </w:p>
        </w:tc>
        <w:tc>
          <w:tcPr>
            <w:tcW w:w="60" w:type="dxa"/>
            <w:vAlign w:val="bottom"/>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(Yes / No)</w:t>
            </w:r>
          </w:p>
        </w:tc>
        <w:tc>
          <w:tcPr>
            <w:tcW w:w="2980" w:type="dxa"/>
            <w:vAlign w:val="bottom"/>
            <w:tcBorders>
              <w:right w:val="single" w:sz="8" w:color="auto"/>
            </w:tcBorders>
          </w:tcPr>
          <w:p>
            <w:pPr>
              <w:spacing w:after="0"/>
              <w:rPr>
                <w:sz w:val="21"/>
                <w:szCs w:val="21"/>
                <w:color w:val="auto"/>
              </w:rPr>
            </w:pPr>
          </w:p>
        </w:tc>
      </w:tr>
      <w:tr>
        <w:trPr>
          <w:trHeight w:val="305"/>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r>
      <w:tr>
        <w:trPr>
          <w:trHeight w:val="247"/>
        </w:trPr>
        <w:tc>
          <w:tcPr>
            <w:tcW w:w="148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2"/>
          </w:tcPr>
          <w:p>
            <w:pPr>
              <w:jc w:val="center"/>
              <w:spacing w:after="0" w:line="247"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rPr>
              <w:t>[***]</w:t>
            </w:r>
          </w:p>
        </w:tc>
      </w:tr>
      <w:tr>
        <w:trPr>
          <w:trHeight w:val="263"/>
        </w:trPr>
        <w:tc>
          <w:tcPr>
            <w:tcW w:w="1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1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1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Company</w:t>
            </w:r>
          </w:p>
        </w:tc>
        <w:tc>
          <w:tcPr>
            <w:tcW w:w="114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w:t>
            </w:r>
          </w:p>
        </w:tc>
        <w:tc>
          <w:tcPr>
            <w:tcW w:w="4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489"/>
        </w:trPr>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spacing w:after="0"/>
              <w:rPr>
                <w:sz w:val="24"/>
                <w:szCs w:val="24"/>
                <w:color w:val="auto"/>
              </w:rPr>
            </w:pPr>
          </w:p>
        </w:tc>
      </w:tr>
      <w:tr>
        <w:trPr>
          <w:trHeight w:val="182"/>
        </w:trPr>
        <w:tc>
          <w:tcPr>
            <w:tcW w:w="1480" w:type="dxa"/>
            <w:vAlign w:val="bottom"/>
            <w:tcBorders>
              <w:left w:val="single" w:sz="8" w:color="auto"/>
            </w:tcBorders>
          </w:tcPr>
          <w:p>
            <w:pPr>
              <w:ind w:left="300"/>
              <w:spacing w:after="0" w:line="182" w:lineRule="exact"/>
              <w:rPr>
                <w:sz w:val="20"/>
                <w:szCs w:val="20"/>
                <w:color w:val="auto"/>
              </w:rPr>
            </w:pPr>
            <w:r>
              <w:rPr>
                <w:rFonts w:ascii="Times New Roman" w:cs="Times New Roman" w:eastAsia="Times New Roman" w:hAnsi="Times New Roman"/>
                <w:sz w:val="21"/>
                <w:szCs w:val="21"/>
                <w:b w:val="1"/>
                <w:bCs w:val="1"/>
                <w:color w:val="auto"/>
              </w:rPr>
              <w:t>Subsidiary</w:t>
            </w:r>
          </w:p>
        </w:tc>
        <w:tc>
          <w:tcPr>
            <w:tcW w:w="160" w:type="dxa"/>
            <w:vAlign w:val="bottom"/>
            <w:tcBorders>
              <w:right w:val="single" w:sz="8" w:color="auto"/>
            </w:tcBorders>
          </w:tcPr>
          <w:p>
            <w:pPr>
              <w:spacing w:after="0"/>
              <w:rPr>
                <w:sz w:val="15"/>
                <w:szCs w:val="15"/>
                <w:color w:val="auto"/>
              </w:rPr>
            </w:pPr>
          </w:p>
        </w:tc>
        <w:tc>
          <w:tcPr>
            <w:tcW w:w="1380" w:type="dxa"/>
            <w:vAlign w:val="bottom"/>
            <w:gridSpan w:val="2"/>
          </w:tcPr>
          <w:p>
            <w:pPr>
              <w:jc w:val="center"/>
              <w:ind w:right="60"/>
              <w:spacing w:after="0" w:line="182" w:lineRule="exact"/>
              <w:rPr>
                <w:sz w:val="20"/>
                <w:szCs w:val="20"/>
                <w:color w:val="auto"/>
              </w:rPr>
            </w:pPr>
            <w:r>
              <w:rPr>
                <w:rFonts w:ascii="Times New Roman" w:cs="Times New Roman" w:eastAsia="Times New Roman" w:hAnsi="Times New Roman"/>
                <w:sz w:val="21"/>
                <w:szCs w:val="21"/>
                <w:b w:val="1"/>
                <w:bCs w:val="1"/>
                <w:color w:val="auto"/>
                <w:w w:val="99"/>
              </w:rPr>
              <w:t>Type of</w:t>
            </w:r>
          </w:p>
        </w:tc>
        <w:tc>
          <w:tcPr>
            <w:tcW w:w="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Purpose of</w:t>
            </w:r>
          </w:p>
        </w:tc>
        <w:tc>
          <w:tcPr>
            <w:tcW w:w="1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Account Number</w:t>
            </w:r>
          </w:p>
        </w:tc>
        <w:tc>
          <w:tcPr>
            <w:tcW w:w="4460" w:type="dxa"/>
            <w:vAlign w:val="bottom"/>
            <w:tcBorders>
              <w:right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Name and Address of Financial Institution</w:t>
            </w:r>
          </w:p>
        </w:tc>
      </w:tr>
      <w:tr>
        <w:trPr>
          <w:trHeight w:val="243"/>
        </w:trPr>
        <w:tc>
          <w:tcPr>
            <w:tcW w:w="1480" w:type="dxa"/>
            <w:vAlign w:val="bottom"/>
            <w:tcBorders>
              <w:lef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380" w:type="dxa"/>
            <w:vAlign w:val="bottom"/>
            <w:gridSpan w:val="2"/>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6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182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r>
      <w:tr>
        <w:trPr>
          <w:trHeight w:val="243"/>
        </w:trPr>
        <w:tc>
          <w:tcPr>
            <w:tcW w:w="1480" w:type="dxa"/>
            <w:vAlign w:val="bottom"/>
            <w:tcBorders>
              <w:lef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38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(Deposit,</w:t>
            </w:r>
          </w:p>
        </w:tc>
        <w:tc>
          <w:tcPr>
            <w:tcW w:w="6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r>
      <w:tr>
        <w:trPr>
          <w:trHeight w:val="305"/>
        </w:trPr>
        <w:tc>
          <w:tcPr>
            <w:tcW w:w="14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6"/>
              </w:rPr>
              <w:t>Securities)</w:t>
            </w:r>
          </w:p>
        </w:tc>
        <w:tc>
          <w:tcPr>
            <w:tcW w:w="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r>
      <w:tr>
        <w:trPr>
          <w:trHeight w:val="206"/>
        </w:trPr>
        <w:tc>
          <w:tcPr>
            <w:tcW w:w="1480" w:type="dxa"/>
            <w:vAlign w:val="bottom"/>
            <w:tcBorders>
              <w:left w:val="single" w:sz="8" w:color="auto"/>
            </w:tcBorders>
          </w:tcPr>
          <w:p>
            <w:pPr>
              <w:ind w:left="120"/>
              <w:spacing w:after="0" w:line="206" w:lineRule="exact"/>
              <w:rPr>
                <w:sz w:val="20"/>
                <w:szCs w:val="20"/>
                <w:color w:val="auto"/>
              </w:rPr>
            </w:pPr>
            <w:r>
              <w:rPr>
                <w:rFonts w:ascii="Times New Roman" w:cs="Times New Roman" w:eastAsia="Times New Roman" w:hAnsi="Times New Roman"/>
                <w:sz w:val="22"/>
                <w:szCs w:val="22"/>
                <w:color w:val="auto"/>
              </w:rPr>
              <w:t>Disc Medicine</w:t>
            </w:r>
          </w:p>
        </w:tc>
        <w:tc>
          <w:tcPr>
            <w:tcW w:w="160" w:type="dxa"/>
            <w:vAlign w:val="bottom"/>
            <w:tcBorders>
              <w:right w:val="single" w:sz="8" w:color="auto"/>
            </w:tcBorders>
          </w:tcPr>
          <w:p>
            <w:pPr>
              <w:spacing w:after="0"/>
              <w:rPr>
                <w:sz w:val="17"/>
                <w:szCs w:val="17"/>
                <w:color w:val="auto"/>
              </w:rPr>
            </w:pPr>
          </w:p>
        </w:tc>
        <w:tc>
          <w:tcPr>
            <w:tcW w:w="980" w:type="dxa"/>
            <w:vAlign w:val="bottom"/>
          </w:tcPr>
          <w:p>
            <w:pPr>
              <w:jc w:val="center"/>
              <w:ind w:left="272"/>
              <w:spacing w:after="0" w:line="206"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2"/>
                <w:szCs w:val="22"/>
                <w:color w:val="auto"/>
                <w:w w:val="96"/>
              </w:rPr>
              <w:t>[***]</w:t>
            </w:r>
          </w:p>
        </w:tc>
        <w:tc>
          <w:tcPr>
            <w:tcW w:w="18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Pr>
          <w:p>
            <w:pPr>
              <w:spacing w:after="0"/>
              <w:rPr>
                <w:sz w:val="17"/>
                <w:szCs w:val="17"/>
                <w:color w:val="auto"/>
              </w:rPr>
            </w:pPr>
          </w:p>
        </w:tc>
        <w:tc>
          <w:tcPr>
            <w:tcW w:w="2980" w:type="dxa"/>
            <w:vAlign w:val="bottom"/>
            <w:tcBorders>
              <w:right w:val="single" w:sz="8" w:color="auto"/>
            </w:tcBorders>
          </w:tcPr>
          <w:p>
            <w:pPr>
              <w:jc w:val="center"/>
              <w:ind w:right="1412"/>
              <w:spacing w:after="0" w:line="206" w:lineRule="exact"/>
              <w:rPr>
                <w:sz w:val="20"/>
                <w:szCs w:val="20"/>
                <w:color w:val="auto"/>
              </w:rPr>
            </w:pPr>
            <w:r>
              <w:rPr>
                <w:rFonts w:ascii="Times New Roman" w:cs="Times New Roman" w:eastAsia="Times New Roman" w:hAnsi="Times New Roman"/>
                <w:sz w:val="22"/>
                <w:szCs w:val="22"/>
                <w:color w:val="auto"/>
                <w:w w:val="96"/>
              </w:rPr>
              <w:t>[***]</w:t>
            </w:r>
          </w:p>
        </w:tc>
      </w:tr>
      <w:tr>
        <w:trPr>
          <w:trHeight w:val="283"/>
        </w:trPr>
        <w:tc>
          <w:tcPr>
            <w:tcW w:w="14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w w:val="96"/>
              </w:rPr>
              <w:t>Securities Corp</w:t>
            </w:r>
          </w:p>
        </w:tc>
        <w:tc>
          <w:tcPr>
            <w:tcW w:w="1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r>
      <w:tr>
        <w:trPr>
          <w:trHeight w:val="223"/>
        </w:trPr>
        <w:tc>
          <w:tcPr>
            <w:tcW w:w="148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60" w:type="dxa"/>
            <w:vAlign w:val="bottom"/>
            <w:tcBorders>
              <w:right w:val="single" w:sz="8" w:color="auto"/>
            </w:tcBorders>
          </w:tcPr>
          <w:p>
            <w:pPr>
              <w:spacing w:after="0"/>
              <w:rPr>
                <w:sz w:val="19"/>
                <w:szCs w:val="19"/>
                <w:color w:val="auto"/>
              </w:rPr>
            </w:pPr>
          </w:p>
        </w:tc>
        <w:tc>
          <w:tcPr>
            <w:tcW w:w="980" w:type="dxa"/>
            <w:vAlign w:val="bottom"/>
          </w:tcPr>
          <w:p>
            <w:pPr>
              <w:jc w:val="center"/>
              <w:ind w:left="272"/>
              <w:spacing w:after="0" w:line="22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8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Pr>
          <w:p>
            <w:pPr>
              <w:spacing w:after="0"/>
              <w:rPr>
                <w:sz w:val="19"/>
                <w:szCs w:val="19"/>
                <w:color w:val="auto"/>
              </w:rPr>
            </w:pPr>
          </w:p>
        </w:tc>
        <w:tc>
          <w:tcPr>
            <w:tcW w:w="2980" w:type="dxa"/>
            <w:vAlign w:val="bottom"/>
            <w:tcBorders>
              <w:right w:val="single" w:sz="8" w:color="auto"/>
            </w:tcBorders>
          </w:tcPr>
          <w:p>
            <w:pPr>
              <w:jc w:val="center"/>
              <w:ind w:right="1412"/>
              <w:spacing w:after="0" w:line="223" w:lineRule="exact"/>
              <w:rPr>
                <w:sz w:val="20"/>
                <w:szCs w:val="20"/>
                <w:color w:val="auto"/>
              </w:rPr>
            </w:pPr>
            <w:r>
              <w:rPr>
                <w:rFonts w:ascii="Times New Roman" w:cs="Times New Roman" w:eastAsia="Times New Roman" w:hAnsi="Times New Roman"/>
                <w:sz w:val="22"/>
                <w:szCs w:val="22"/>
                <w:color w:val="auto"/>
                <w:w w:val="96"/>
              </w:rPr>
              <w:t>[***]</w:t>
            </w:r>
          </w:p>
        </w:tc>
      </w:tr>
      <w:tr>
        <w:trPr>
          <w:trHeight w:val="283"/>
        </w:trPr>
        <w:tc>
          <w:tcPr>
            <w:tcW w:w="14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w w:val="96"/>
              </w:rPr>
              <w:t>Securities Corp</w:t>
            </w:r>
          </w:p>
        </w:tc>
        <w:tc>
          <w:tcPr>
            <w:tcW w:w="1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r>
      <w:tr>
        <w:trPr>
          <w:trHeight w:val="223"/>
        </w:trPr>
        <w:tc>
          <w:tcPr>
            <w:tcW w:w="148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60" w:type="dxa"/>
            <w:vAlign w:val="bottom"/>
            <w:tcBorders>
              <w:right w:val="single" w:sz="8" w:color="auto"/>
            </w:tcBorders>
          </w:tcPr>
          <w:p>
            <w:pPr>
              <w:spacing w:after="0"/>
              <w:rPr>
                <w:sz w:val="19"/>
                <w:szCs w:val="19"/>
                <w:color w:val="auto"/>
              </w:rPr>
            </w:pPr>
          </w:p>
        </w:tc>
        <w:tc>
          <w:tcPr>
            <w:tcW w:w="980" w:type="dxa"/>
            <w:vAlign w:val="bottom"/>
          </w:tcPr>
          <w:p>
            <w:pPr>
              <w:jc w:val="center"/>
              <w:ind w:left="272"/>
              <w:spacing w:after="0" w:line="22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8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Pr>
          <w:p>
            <w:pPr>
              <w:spacing w:after="0"/>
              <w:rPr>
                <w:sz w:val="19"/>
                <w:szCs w:val="19"/>
                <w:color w:val="auto"/>
              </w:rPr>
            </w:pPr>
          </w:p>
        </w:tc>
        <w:tc>
          <w:tcPr>
            <w:tcW w:w="2980" w:type="dxa"/>
            <w:vAlign w:val="bottom"/>
            <w:tcBorders>
              <w:right w:val="single" w:sz="8" w:color="auto"/>
            </w:tcBorders>
          </w:tcPr>
          <w:p>
            <w:pPr>
              <w:jc w:val="center"/>
              <w:ind w:right="1412"/>
              <w:spacing w:after="0" w:line="223" w:lineRule="exact"/>
              <w:rPr>
                <w:sz w:val="20"/>
                <w:szCs w:val="20"/>
                <w:color w:val="auto"/>
              </w:rPr>
            </w:pPr>
            <w:r>
              <w:rPr>
                <w:rFonts w:ascii="Times New Roman" w:cs="Times New Roman" w:eastAsia="Times New Roman" w:hAnsi="Times New Roman"/>
                <w:sz w:val="22"/>
                <w:szCs w:val="22"/>
                <w:color w:val="auto"/>
                <w:w w:val="96"/>
              </w:rPr>
              <w:t>[***]</w:t>
            </w:r>
          </w:p>
        </w:tc>
      </w:tr>
      <w:tr>
        <w:trPr>
          <w:trHeight w:val="283"/>
        </w:trPr>
        <w:tc>
          <w:tcPr>
            <w:tcW w:w="14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w w:val="96"/>
              </w:rPr>
              <w:t>Securities Corp</w:t>
            </w:r>
          </w:p>
        </w:tc>
        <w:tc>
          <w:tcPr>
            <w:tcW w:w="1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r>
      <w:tr>
        <w:trPr>
          <w:trHeight w:val="223"/>
        </w:trPr>
        <w:tc>
          <w:tcPr>
            <w:tcW w:w="148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60" w:type="dxa"/>
            <w:vAlign w:val="bottom"/>
            <w:tcBorders>
              <w:right w:val="single" w:sz="8" w:color="auto"/>
            </w:tcBorders>
          </w:tcPr>
          <w:p>
            <w:pPr>
              <w:spacing w:after="0"/>
              <w:rPr>
                <w:sz w:val="19"/>
                <w:szCs w:val="19"/>
                <w:color w:val="auto"/>
              </w:rPr>
            </w:pPr>
          </w:p>
        </w:tc>
        <w:tc>
          <w:tcPr>
            <w:tcW w:w="980" w:type="dxa"/>
            <w:vAlign w:val="bottom"/>
          </w:tcPr>
          <w:p>
            <w:pPr>
              <w:jc w:val="center"/>
              <w:ind w:left="272"/>
              <w:spacing w:after="0" w:line="22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8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Pr>
          <w:p>
            <w:pPr>
              <w:spacing w:after="0"/>
              <w:rPr>
                <w:sz w:val="19"/>
                <w:szCs w:val="19"/>
                <w:color w:val="auto"/>
              </w:rPr>
            </w:pPr>
          </w:p>
        </w:tc>
        <w:tc>
          <w:tcPr>
            <w:tcW w:w="2980" w:type="dxa"/>
            <w:vAlign w:val="bottom"/>
            <w:tcBorders>
              <w:right w:val="single" w:sz="8" w:color="auto"/>
            </w:tcBorders>
          </w:tcPr>
          <w:p>
            <w:pPr>
              <w:jc w:val="center"/>
              <w:ind w:right="1412"/>
              <w:spacing w:after="0" w:line="223" w:lineRule="exact"/>
              <w:rPr>
                <w:sz w:val="20"/>
                <w:szCs w:val="20"/>
                <w:color w:val="auto"/>
              </w:rPr>
            </w:pPr>
            <w:r>
              <w:rPr>
                <w:rFonts w:ascii="Times New Roman" w:cs="Times New Roman" w:eastAsia="Times New Roman" w:hAnsi="Times New Roman"/>
                <w:sz w:val="22"/>
                <w:szCs w:val="22"/>
                <w:color w:val="auto"/>
                <w:w w:val="96"/>
              </w:rPr>
              <w:t>[***]</w:t>
            </w:r>
          </w:p>
        </w:tc>
      </w:tr>
      <w:tr>
        <w:trPr>
          <w:trHeight w:val="282"/>
        </w:trPr>
        <w:tc>
          <w:tcPr>
            <w:tcW w:w="1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B.V.</w:t>
            </w:r>
          </w:p>
        </w:tc>
        <w:tc>
          <w:tcPr>
            <w:tcW w:w="1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245"/>
        </w:trPr>
        <w:tc>
          <w:tcPr>
            <w:tcW w:w="148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r>
      <w:tr>
        <w:trPr>
          <w:trHeight w:val="223"/>
        </w:trPr>
        <w:tc>
          <w:tcPr>
            <w:tcW w:w="1480" w:type="dxa"/>
            <w:vAlign w:val="bottom"/>
            <w:tcBorders>
              <w:lef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Disc Medicine</w:t>
            </w:r>
          </w:p>
        </w:tc>
        <w:tc>
          <w:tcPr>
            <w:tcW w:w="160" w:type="dxa"/>
            <w:vAlign w:val="bottom"/>
            <w:tcBorders>
              <w:right w:val="single" w:sz="8" w:color="auto"/>
            </w:tcBorders>
          </w:tcPr>
          <w:p>
            <w:pPr>
              <w:spacing w:after="0"/>
              <w:rPr>
                <w:sz w:val="19"/>
                <w:szCs w:val="19"/>
                <w:color w:val="auto"/>
              </w:rPr>
            </w:pPr>
          </w:p>
        </w:tc>
        <w:tc>
          <w:tcPr>
            <w:tcW w:w="980" w:type="dxa"/>
            <w:vAlign w:val="bottom"/>
          </w:tcPr>
          <w:p>
            <w:pPr>
              <w:jc w:val="center"/>
              <w:ind w:left="272"/>
              <w:spacing w:after="0" w:line="22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8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w:t>
            </w:r>
          </w:p>
        </w:tc>
        <w:tc>
          <w:tcPr>
            <w:tcW w:w="1480" w:type="dxa"/>
            <w:vAlign w:val="bottom"/>
          </w:tcPr>
          <w:p>
            <w:pPr>
              <w:spacing w:after="0"/>
              <w:rPr>
                <w:sz w:val="19"/>
                <w:szCs w:val="19"/>
                <w:color w:val="auto"/>
              </w:rPr>
            </w:pPr>
          </w:p>
        </w:tc>
        <w:tc>
          <w:tcPr>
            <w:tcW w:w="2980" w:type="dxa"/>
            <w:vAlign w:val="bottom"/>
            <w:tcBorders>
              <w:right w:val="single" w:sz="8" w:color="auto"/>
            </w:tcBorders>
          </w:tcPr>
          <w:p>
            <w:pPr>
              <w:jc w:val="center"/>
              <w:ind w:right="1412"/>
              <w:spacing w:after="0" w:line="223" w:lineRule="exact"/>
              <w:rPr>
                <w:sz w:val="20"/>
                <w:szCs w:val="20"/>
                <w:color w:val="auto"/>
              </w:rPr>
            </w:pPr>
            <w:r>
              <w:rPr>
                <w:rFonts w:ascii="Times New Roman" w:cs="Times New Roman" w:eastAsia="Times New Roman" w:hAnsi="Times New Roman"/>
                <w:sz w:val="22"/>
                <w:szCs w:val="22"/>
                <w:color w:val="auto"/>
                <w:w w:val="96"/>
              </w:rPr>
              <w:t>[***]</w:t>
            </w:r>
          </w:p>
        </w:tc>
      </w:tr>
      <w:tr>
        <w:trPr>
          <w:trHeight w:val="282"/>
        </w:trPr>
        <w:tc>
          <w:tcPr>
            <w:tcW w:w="1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B.V.</w:t>
            </w:r>
          </w:p>
        </w:tc>
        <w:tc>
          <w:tcPr>
            <w:tcW w:w="1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r>
      <w:tr>
        <w:trPr>
          <w:trHeight w:val="245"/>
        </w:trPr>
        <w:tc>
          <w:tcPr>
            <w:tcW w:w="148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r>
      <w:tr>
        <w:trPr>
          <w:trHeight w:val="128"/>
        </w:trPr>
        <w:tc>
          <w:tcPr>
            <w:tcW w:w="1480" w:type="dxa"/>
            <w:vAlign w:val="bottom"/>
            <w:tcBorders>
              <w:bottom w:val="single" w:sz="8" w:color="EEEEEE"/>
            </w:tcBorders>
          </w:tcPr>
          <w:p>
            <w:pPr>
              <w:spacing w:after="0"/>
              <w:rPr>
                <w:sz w:val="11"/>
                <w:szCs w:val="11"/>
                <w:color w:val="auto"/>
              </w:rPr>
            </w:pPr>
          </w:p>
        </w:tc>
        <w:tc>
          <w:tcPr>
            <w:tcW w:w="160" w:type="dxa"/>
            <w:vAlign w:val="bottom"/>
            <w:tcBorders>
              <w:bottom w:val="single" w:sz="8" w:color="EEEEEE"/>
            </w:tcBorders>
          </w:tcPr>
          <w:p>
            <w:pPr>
              <w:spacing w:after="0"/>
              <w:rPr>
                <w:sz w:val="11"/>
                <w:szCs w:val="11"/>
                <w:color w:val="auto"/>
              </w:rPr>
            </w:pPr>
          </w:p>
        </w:tc>
        <w:tc>
          <w:tcPr>
            <w:tcW w:w="980" w:type="dxa"/>
            <w:vAlign w:val="bottom"/>
            <w:tcBorders>
              <w:bottom w:val="single" w:sz="8" w:color="EEEEEE"/>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9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168846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42" w:lineRule="exact"/>
        <w:rPr>
          <w:sz w:val="20"/>
          <w:szCs w:val="20"/>
          <w:color w:val="auto"/>
        </w:rPr>
      </w:pPr>
    </w:p>
    <w:p>
      <w:pPr>
        <w:ind w:left="120" w:hanging="112"/>
        <w:spacing w:after="0"/>
        <w:tabs>
          <w:tab w:leader="none" w:pos="120" w:val="left"/>
        </w:tabs>
        <w:numPr>
          <w:ilvl w:val="0"/>
          <w:numId w:val="10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Attach this Annex [7] only if Exhibit D to the Loan Agreement needs to be updated since the most recently-delivered Exhibit 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46"/>
        </w:trPr>
        <w:tc>
          <w:tcPr>
            <w:tcW w:w="1600" w:type="dxa"/>
            <w:vAlign w:val="bottom"/>
            <w:tcBorders>
              <w:top w:val="single" w:sz="8" w:color="auto"/>
              <w:left w:val="single" w:sz="8" w:color="auto"/>
              <w:right w:val="single" w:sz="8" w:color="auto"/>
            </w:tcBorders>
          </w:tcPr>
          <w:p>
            <w:pPr>
              <w:ind w:left="120"/>
              <w:spacing w:after="0" w:line="246" w:lineRule="exact"/>
              <w:rPr>
                <w:sz w:val="20"/>
                <w:szCs w:val="20"/>
                <w:color w:val="auto"/>
              </w:rPr>
            </w:pPr>
            <w:r>
              <w:rPr>
                <w:rFonts w:ascii="Times New Roman" w:cs="Times New Roman" w:eastAsia="Times New Roman" w:hAnsi="Times New Roman"/>
                <w:sz w:val="22"/>
                <w:szCs w:val="22"/>
                <w:color w:val="auto"/>
              </w:rPr>
              <w:t>Disc Medicine</w:t>
            </w:r>
          </w:p>
        </w:tc>
        <w:tc>
          <w:tcPr>
            <w:tcW w:w="1480" w:type="dxa"/>
            <w:vAlign w:val="bottom"/>
            <w:tcBorders>
              <w:top w:val="single" w:sz="8" w:color="auto"/>
              <w:right w:val="single" w:sz="8" w:color="auto"/>
            </w:tcBorders>
          </w:tcPr>
          <w:p>
            <w:pPr>
              <w:jc w:val="right"/>
              <w:ind w:right="412"/>
              <w:spacing w:after="0" w:line="246"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Borders>
              <w:top w:val="single" w:sz="8" w:color="auto"/>
              <w:right w:val="single" w:sz="8" w:color="auto"/>
            </w:tcBorders>
          </w:tcPr>
          <w:p>
            <w:pPr>
              <w:jc w:val="right"/>
              <w:ind w:right="612"/>
              <w:spacing w:after="0" w:line="246" w:lineRule="exact"/>
              <w:rPr>
                <w:sz w:val="20"/>
                <w:szCs w:val="20"/>
                <w:color w:val="auto"/>
              </w:rPr>
            </w:pPr>
            <w:r>
              <w:rPr>
                <w:rFonts w:ascii="Times New Roman" w:cs="Times New Roman" w:eastAsia="Times New Roman" w:hAnsi="Times New Roman"/>
                <w:sz w:val="22"/>
                <w:szCs w:val="22"/>
                <w:color w:val="auto"/>
              </w:rPr>
              <w:t>[***]</w:t>
            </w:r>
          </w:p>
        </w:tc>
        <w:tc>
          <w:tcPr>
            <w:tcW w:w="1800" w:type="dxa"/>
            <w:vAlign w:val="bottom"/>
            <w:tcBorders>
              <w:top w:val="single" w:sz="8" w:color="auto"/>
              <w:right w:val="single" w:sz="8" w:color="auto"/>
            </w:tcBorders>
          </w:tcPr>
          <w:p>
            <w:pPr>
              <w:jc w:val="right"/>
              <w:ind w:right="572"/>
              <w:spacing w:after="0" w:line="246" w:lineRule="exact"/>
              <w:rPr>
                <w:sz w:val="20"/>
                <w:szCs w:val="20"/>
                <w:color w:val="auto"/>
              </w:rPr>
            </w:pPr>
            <w:r>
              <w:rPr>
                <w:rFonts w:ascii="Times New Roman" w:cs="Times New Roman" w:eastAsia="Times New Roman" w:hAnsi="Times New Roman"/>
                <w:sz w:val="22"/>
                <w:szCs w:val="22"/>
                <w:color w:val="auto"/>
              </w:rPr>
              <w:t>[***]</w:t>
            </w:r>
          </w:p>
        </w:tc>
        <w:tc>
          <w:tcPr>
            <w:tcW w:w="4480" w:type="dxa"/>
            <w:vAlign w:val="bottom"/>
            <w:tcBorders>
              <w:top w:val="single" w:sz="8" w:color="auto"/>
              <w:right w:val="single" w:sz="8" w:color="auto"/>
            </w:tcBorders>
          </w:tcPr>
          <w:p>
            <w:pPr>
              <w:jc w:val="right"/>
              <w:ind w:right="1912"/>
              <w:spacing w:after="0" w:line="246" w:lineRule="exact"/>
              <w:rPr>
                <w:sz w:val="20"/>
                <w:szCs w:val="20"/>
                <w:color w:val="auto"/>
              </w:rPr>
            </w:pPr>
            <w:r>
              <w:rPr>
                <w:rFonts w:ascii="Times New Roman" w:cs="Times New Roman" w:eastAsia="Times New Roman" w:hAnsi="Times New Roman"/>
                <w:sz w:val="22"/>
                <w:szCs w:val="22"/>
                <w:color w:val="auto"/>
              </w:rPr>
              <w:t>[***]</w:t>
            </w:r>
          </w:p>
        </w:tc>
      </w:tr>
      <w:tr>
        <w:trPr>
          <w:trHeight w:val="281"/>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Pty Ltd</w:t>
            </w:r>
          </w:p>
        </w:tc>
        <w:tc>
          <w:tcPr>
            <w:tcW w:w="1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8" w:name="page109"/>
    <w:bookmarkEnd w:id="108"/>
    <w:p>
      <w:pPr>
        <w:ind w:left="506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FORM OF JOINDER 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Joinder Agreement (the “</w:t>
      </w:r>
      <w:r>
        <w:rPr>
          <w:rFonts w:ascii="Times New Roman" w:cs="Times New Roman" w:eastAsia="Times New Roman" w:hAnsi="Times New Roman"/>
          <w:sz w:val="21"/>
          <w:szCs w:val="21"/>
          <w:u w:val="single" w:color="auto"/>
          <w:color w:val="auto"/>
        </w:rPr>
        <w:t>Joinder Agreement</w:t>
      </w:r>
      <w:r>
        <w:rPr>
          <w:rFonts w:ascii="Times New Roman" w:cs="Times New Roman" w:eastAsia="Times New Roman" w:hAnsi="Times New Roman"/>
          <w:sz w:val="21"/>
          <w:szCs w:val="21"/>
          <w:color w:val="auto"/>
        </w:rPr>
        <w:t>”) is made and dated as of [ ], 20[ ], and is entered into by and between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 a _____________ [corporation]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and HERCULES CAPITAL, INC., a Maryland</w:t>
      </w:r>
    </w:p>
    <w:p>
      <w:pPr>
        <w:spacing w:after="0"/>
        <w:rPr>
          <w:sz w:val="20"/>
          <w:szCs w:val="20"/>
          <w:color w:val="auto"/>
        </w:rPr>
      </w:pPr>
      <w:r>
        <w:rPr>
          <w:rFonts w:ascii="Times New Roman" w:cs="Times New Roman" w:eastAsia="Times New Roman" w:hAnsi="Times New Roman"/>
          <w:sz w:val="22"/>
          <w:szCs w:val="22"/>
          <w:color w:val="auto"/>
        </w:rPr>
        <w:t>corporation (as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757"/>
        <w:spacing w:after="0" w:line="238"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Subsidiary’s Affiliate, Disc Medicine, Inc., a Delaware corporation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entered into that certain Loan and Security Agreement dated [____], 2024 with the several banks and other financial institutions or entities from time to time party thereto as lender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each other Subsidiary of Company party thereto (individually and collectively with Company hereinafter referred to as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the Agent, as such agreement may be amended (the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together with the other agreements executed and delivered in connection therewith;</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acknowledges and agrees that it will benefit both directly and indirectly from Company’s execution of the Loan Agreement and the other agreements executed and delivered in connection therewith;</w:t>
      </w:r>
    </w:p>
    <w:p>
      <w:pPr>
        <w:spacing w:after="0" w:line="1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Subsidiary and Agent agree as follows:</w:t>
      </w:r>
    </w:p>
    <w:p>
      <w:pPr>
        <w:spacing w:after="0" w:line="206" w:lineRule="exact"/>
        <w:rPr>
          <w:sz w:val="20"/>
          <w:szCs w:val="20"/>
          <w:color w:val="auto"/>
        </w:rPr>
      </w:pPr>
    </w:p>
    <w:p>
      <w:pPr>
        <w:ind w:left="760" w:right="20" w:hanging="752"/>
        <w:spacing w:after="0" w:line="258" w:lineRule="auto"/>
        <w:tabs>
          <w:tab w:leader="none" w:pos="4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recitals set forth above are incorporated into and made part of this Joinder Agreement. Capitalized terms not defined herein shall have the meaning provided in the Loan Agreement.</w:t>
      </w:r>
    </w:p>
    <w:p>
      <w:pPr>
        <w:spacing w:after="0" w:line="158" w:lineRule="exact"/>
        <w:rPr>
          <w:rFonts w:ascii="Times New Roman" w:cs="Times New Roman" w:eastAsia="Times New Roman" w:hAnsi="Times New Roman"/>
          <w:sz w:val="22"/>
          <w:szCs w:val="22"/>
          <w:color w:val="auto"/>
        </w:rPr>
      </w:pPr>
    </w:p>
    <w:p>
      <w:pPr>
        <w:ind w:left="760" w:hanging="752"/>
        <w:spacing w:after="0" w:line="233" w:lineRule="auto"/>
        <w:tabs>
          <w:tab w:leader="none" w:pos="4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this Joinder Agreement, Subsidiary shall be bound by the terms and conditions of the Loan Agreement the same as if it were a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22"/>
          <w:szCs w:val="22"/>
          <w:color w:val="auto"/>
        </w:rPr>
        <w:t>Subsidiary shall have no right to request an Advance or make any other demand on the Lenders.</w:t>
      </w:r>
    </w:p>
    <w:p>
      <w:pPr>
        <w:spacing w:after="0" w:line="206" w:lineRule="exact"/>
        <w:rPr>
          <w:sz w:val="20"/>
          <w:szCs w:val="20"/>
          <w:color w:val="auto"/>
        </w:rPr>
      </w:pPr>
    </w:p>
    <w:p>
      <w:pPr>
        <w:ind w:left="760" w:hanging="752"/>
        <w:spacing w:after="0" w:line="264" w:lineRule="auto"/>
        <w:tabs>
          <w:tab w:leader="none" w:pos="4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r>
        <w:rPr>
          <w:rFonts w:ascii="Times New Roman" w:cs="Times New Roman" w:eastAsia="Times New Roman" w:hAnsi="Times New Roman"/>
          <w:sz w:val="28"/>
          <w:szCs w:val="28"/>
          <w:color w:val="auto"/>
          <w:vertAlign w:val="superscript"/>
        </w:rPr>
        <w:t>8</w:t>
      </w:r>
    </w:p>
    <w:p>
      <w:pPr>
        <w:spacing w:after="0" w:line="47" w:lineRule="exact"/>
        <w:rPr>
          <w:rFonts w:ascii="Times New Roman" w:cs="Times New Roman" w:eastAsia="Times New Roman" w:hAnsi="Times New Roman"/>
          <w:sz w:val="22"/>
          <w:szCs w:val="22"/>
          <w:color w:val="auto"/>
        </w:rPr>
      </w:pPr>
    </w:p>
    <w:p>
      <w:pPr>
        <w:ind w:left="760" w:hanging="752"/>
        <w:spacing w:after="0" w:line="236" w:lineRule="auto"/>
        <w:tabs>
          <w:tab w:leader="none" w:pos="4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81" w:lineRule="exact"/>
        <w:rPr>
          <w:rFonts w:ascii="Times New Roman" w:cs="Times New Roman" w:eastAsia="Times New Roman" w:hAnsi="Times New Roman"/>
          <w:sz w:val="22"/>
          <w:szCs w:val="22"/>
          <w:color w:val="auto"/>
        </w:rPr>
      </w:pPr>
    </w:p>
    <w:p>
      <w:pPr>
        <w:ind w:left="760" w:hanging="752"/>
        <w:spacing w:after="0" w:line="244" w:lineRule="auto"/>
        <w:tabs>
          <w:tab w:leader="none" w:pos="4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 Agreement shall be governed by, and construed and enforced in accordance with, the laws of the State of California, excluding conflict of laws principles that would cause the application of laws of any other jurisdiction.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JOINDER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w:t>
      </w:r>
    </w:p>
    <w:p>
      <w:pPr>
        <w:ind w:left="2260"/>
        <w:spacing w:after="0"/>
        <w:rPr>
          <w:sz w:val="20"/>
          <w:szCs w:val="20"/>
          <w:color w:val="auto"/>
        </w:rPr>
      </w:pPr>
      <w:r>
        <w:rPr>
          <w:rFonts w:ascii="Times New Roman" w:cs="Times New Roman" w:eastAsia="Times New Roman" w:hAnsi="Times New Roman"/>
          <w:sz w:val="22"/>
          <w:szCs w:val="22"/>
          <w:color w:val="auto"/>
        </w:rPr>
        <w:t>Title:</w:t>
      </w:r>
    </w:p>
    <w:p>
      <w:pPr>
        <w:spacing w:after="0" w:line="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Address:</w:t>
      </w:r>
    </w:p>
    <w:p>
      <w:pPr>
        <w:spacing w:after="0" w:line="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Telephone: __________</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email: 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168846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16" w:lineRule="exact"/>
        <w:rPr>
          <w:sz w:val="20"/>
          <w:szCs w:val="20"/>
          <w:color w:val="auto"/>
        </w:rPr>
      </w:pPr>
    </w:p>
    <w:p>
      <w:pPr>
        <w:ind w:left="120" w:hanging="112"/>
        <w:spacing w:after="0"/>
        <w:tabs>
          <w:tab w:leader="none" w:pos="120" w:val="left"/>
        </w:tabs>
        <w:numPr>
          <w:ilvl w:val="0"/>
          <w:numId w:val="10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Only include if Subsidiary’s equity interests are not certificated as of the joinder date.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ind w:left="11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Name: ________________________</w:t>
      </w:r>
    </w:p>
    <w:p>
      <w:pPr>
        <w:ind w:left="1140"/>
        <w:spacing w:after="0"/>
        <w:rPr>
          <w:sz w:val="20"/>
          <w:szCs w:val="20"/>
          <w:color w:val="auto"/>
        </w:rPr>
      </w:pPr>
      <w:r>
        <w:rPr>
          <w:rFonts w:ascii="Times New Roman" w:cs="Times New Roman" w:eastAsia="Times New Roman" w:hAnsi="Times New Roman"/>
          <w:sz w:val="22"/>
          <w:szCs w:val="22"/>
          <w:color w:val="auto"/>
        </w:rPr>
        <w:t>Title: _________________________</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1 North B Street, Suite 2000</w:t>
      </w:r>
    </w:p>
    <w:p>
      <w:pPr>
        <w:ind w:left="1140"/>
        <w:spacing w:after="0" w:line="230" w:lineRule="auto"/>
        <w:rPr>
          <w:sz w:val="20"/>
          <w:szCs w:val="20"/>
          <w:color w:val="auto"/>
        </w:rPr>
      </w:pPr>
      <w:r>
        <w:rPr>
          <w:rFonts w:ascii="Times New Roman" w:cs="Times New Roman" w:eastAsia="Times New Roman" w:hAnsi="Times New Roman"/>
          <w:sz w:val="22"/>
          <w:szCs w:val="22"/>
          <w:color w:val="auto"/>
        </w:rPr>
        <w:t>San Mateo, CA 94401</w:t>
      </w:r>
    </w:p>
    <w:p>
      <w:pPr>
        <w:ind w:left="114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1140"/>
        <w:spacing w:after="0"/>
        <w:rPr>
          <w:sz w:val="20"/>
          <w:szCs w:val="20"/>
          <w:color w:val="auto"/>
        </w:rPr>
      </w:pPr>
      <w:r>
        <w:rPr>
          <w:rFonts w:ascii="Times New Roman" w:cs="Times New Roman" w:eastAsia="Times New Roman" w:hAnsi="Times New Roman"/>
          <w:sz w:val="22"/>
          <w:szCs w:val="22"/>
          <w:color w:val="auto"/>
        </w:rPr>
        <w:t>Telephone: [***]</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485775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ACH DEBIT AUTHORIZATION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Hercules SBIC V, L.P.</w:t>
      </w:r>
    </w:p>
    <w:p>
      <w:pPr>
        <w:spacing w:after="0" w:line="230" w:lineRule="auto"/>
        <w:rPr>
          <w:sz w:val="20"/>
          <w:szCs w:val="20"/>
          <w:color w:val="auto"/>
        </w:rPr>
      </w:pPr>
      <w:r>
        <w:rPr>
          <w:rFonts w:ascii="Times New Roman" w:cs="Times New Roman" w:eastAsia="Times New Roman" w:hAnsi="Times New Roman"/>
          <w:sz w:val="22"/>
          <w:szCs w:val="22"/>
          <w:color w:val="auto"/>
        </w:rPr>
        <w:t>1 North B Street, Suite 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9"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Re: Loan and Security Agreement dated November 6, 2024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Disc Medicine, Inc., a Delaware corporation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its Subsidiaries from time to time party thereto (individually and collectively with Company hereinafter referred to as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Hercules Capital, Inc., as administrative agent and collateral agent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and the lenders party thereto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above referenced Agreement, Borrower hereby authorizes Agent or Lenders to initiate debit entries for (i) the periodic payments due under the Agreement and (ii) out-of-pocket legal fees and costs incurred by Agent or the Lenders pursuant to Section 11.12 of the Agreement to Borrower’s account indicated below. Borrower authorizes the depository institution named below to debit to such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FILED PUBLICLY, ACCOUNT INFO REDACTED FOR SECURITY PURPOSES]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DEPOSITORY NAME</w:t>
            </w:r>
          </w:p>
        </w:tc>
        <w:tc>
          <w:tcPr>
            <w:tcW w:w="56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BRANCH</w:t>
            </w:r>
          </w:p>
        </w:tc>
      </w:tr>
      <w:tr>
        <w:trPr>
          <w:trHeight w:val="217"/>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62"/>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CITY</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STATE AND ZIP CODE</w:t>
            </w:r>
          </w:p>
        </w:tc>
      </w:tr>
      <w:tr>
        <w:trPr>
          <w:trHeight w:val="200"/>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7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TRANSIT/ABA NUMBER</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ACCOUNT NUMBER</w:t>
            </w:r>
          </w:p>
        </w:tc>
      </w:tr>
      <w:tr>
        <w:trPr>
          <w:trHeight w:val="204"/>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authority will remain in full force and effect so long as any amounts are due under the Agreement.</w:t>
      </w:r>
    </w:p>
    <w:p>
      <w:pPr>
        <w:spacing w:after="0" w:line="2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DISC MEDICINE, INC.</w:t>
      </w:r>
      <w:r>
        <w:rPr>
          <w:rFonts w:ascii="Times New Roman" w:cs="Times New Roman" w:eastAsia="Times New Roman" w:hAnsi="Times New Roman"/>
          <w:sz w:val="22"/>
          <w:szCs w:val="22"/>
          <w:color w:val="auto"/>
        </w:rPr>
        <w:t>, as Borrower Agent</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Print Name:</w:t>
      </w: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EXHIBIT H-1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Foreign Lenders That Are Not Partnerships For U.S. Federal Income Tax Purposes)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Reference is hereby made to the Loan and Security Agreement dated as of November 6, 2024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thereto (collectively, referred to as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HERCULES CAPITAL, INC., a Maryland corporation, in its capacity as administrative agent and collateral agent for itself and the Lenders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firstLine="749"/>
        <w:spacing w:after="0" w:line="238" w:lineRule="auto"/>
        <w:rPr>
          <w:sz w:val="20"/>
          <w:szCs w:val="20"/>
          <w:color w:val="auto"/>
        </w:rPr>
      </w:pPr>
      <w:r>
        <w:rPr>
          <w:rFonts w:ascii="Times New Roman" w:cs="Times New Roman" w:eastAsia="Times New Roman" w:hAnsi="Times New Roman"/>
          <w:sz w:val="22"/>
          <w:szCs w:val="22"/>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7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undersigned has furnished the Agent and Borrower with a certificate of its non-U.S. Person status on IRS Form W-8BEN or IRS Form W-8BEN-E.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spacing w:after="0" w:line="1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172" w:lineRule="exact"/>
        <w:rPr>
          <w:sz w:val="20"/>
          <w:szCs w:val="20"/>
          <w:color w:val="auto"/>
        </w:rPr>
      </w:pPr>
    </w:p>
    <w:p>
      <w:pPr>
        <w:ind w:left="100"/>
        <w:spacing w:after="0"/>
        <w:tabs>
          <w:tab w:leader="none" w:pos="5180" w:val="left"/>
        </w:tabs>
        <w:rPr>
          <w:sz w:val="20"/>
          <w:szCs w:val="20"/>
          <w:color w:val="auto"/>
        </w:rPr>
      </w:pPr>
      <w:r>
        <w:rPr>
          <w:rFonts w:ascii="Times New Roman" w:cs="Times New Roman" w:eastAsia="Times New Roman" w:hAnsi="Times New Roman"/>
          <w:sz w:val="22"/>
          <w:szCs w:val="22"/>
          <w:color w:val="auto"/>
        </w:rPr>
        <w:t>Date: ___________, 20___</w:t>
      </w:r>
      <w:r>
        <w:rPr>
          <w:sz w:val="20"/>
          <w:szCs w:val="20"/>
          <w:color w:val="auto"/>
        </w:rPr>
        <w:tab/>
      </w:r>
      <w:r>
        <w:rPr>
          <w:rFonts w:ascii="Times New Roman" w:cs="Times New Roman" w:eastAsia="Times New Roman" w:hAnsi="Times New Roman"/>
          <w:sz w:val="21"/>
          <w:szCs w:val="21"/>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auto"/>
        </w:rPr>
        <w:t>EXHIBIT H-2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Foreign Participants That Are Not Partnerships For U.S. Federal Income Tax Purposes)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Reference is hereby made to the Loan and Security Agreement dated as of November 6, 2024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thereto (collectively, referred to as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HERCULES CAPITAL, INC., a Maryland corporation, in its capacity as administrative agent and collateral agent for itself and the Lenders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(3)(C) of the Code.</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172" w:lineRule="exact"/>
        <w:rPr>
          <w:sz w:val="20"/>
          <w:szCs w:val="20"/>
          <w:color w:val="auto"/>
        </w:rPr>
      </w:pPr>
    </w:p>
    <w:p>
      <w:pPr>
        <w:ind w:left="100"/>
        <w:spacing w:after="0"/>
        <w:tabs>
          <w:tab w:leader="none" w:pos="5180" w:val="left"/>
        </w:tabs>
        <w:rPr>
          <w:sz w:val="20"/>
          <w:szCs w:val="20"/>
          <w:color w:val="auto"/>
        </w:rPr>
      </w:pPr>
      <w:r>
        <w:rPr>
          <w:rFonts w:ascii="Times New Roman" w:cs="Times New Roman" w:eastAsia="Times New Roman" w:hAnsi="Times New Roman"/>
          <w:sz w:val="22"/>
          <w:szCs w:val="22"/>
          <w:color w:val="auto"/>
        </w:rPr>
        <w:t>Date: ___________, 20___</w:t>
      </w:r>
      <w:r>
        <w:rPr>
          <w:sz w:val="20"/>
          <w:szCs w:val="20"/>
          <w:color w:val="auto"/>
        </w:rPr>
        <w:tab/>
      </w:r>
      <w:r>
        <w:rPr>
          <w:rFonts w:ascii="Times New Roman" w:cs="Times New Roman" w:eastAsia="Times New Roman" w:hAnsi="Times New Roman"/>
          <w:sz w:val="21"/>
          <w:szCs w:val="21"/>
          <w:color w:val="auto"/>
        </w:rPr>
        <w:t>[NAME OF PARTICIPANT]</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auto"/>
        </w:rPr>
        <w:t>EXHIBIT H-3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Foreign Participants That Are Partnerships For U.S. Federal Income Tax Purposes)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Reference is hereby made to the Loan and Security Agreement dated as of November 6, 2024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thereto (collectively, referred to as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HERCULES CAPITAL, INC., a Maryland corporation, in its capacity as administrative agent and collateral agent for itself and the Lenders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172" w:lineRule="exact"/>
        <w:rPr>
          <w:sz w:val="20"/>
          <w:szCs w:val="20"/>
          <w:color w:val="auto"/>
        </w:rPr>
      </w:pPr>
    </w:p>
    <w:p>
      <w:pPr>
        <w:ind w:left="100"/>
        <w:spacing w:after="0"/>
        <w:tabs>
          <w:tab w:leader="none" w:pos="5180" w:val="left"/>
        </w:tabs>
        <w:rPr>
          <w:sz w:val="20"/>
          <w:szCs w:val="20"/>
          <w:color w:val="auto"/>
        </w:rPr>
      </w:pPr>
      <w:r>
        <w:rPr>
          <w:rFonts w:ascii="Times New Roman" w:cs="Times New Roman" w:eastAsia="Times New Roman" w:hAnsi="Times New Roman"/>
          <w:sz w:val="22"/>
          <w:szCs w:val="22"/>
          <w:color w:val="auto"/>
        </w:rPr>
        <w:t>Date: ___________, 20___</w:t>
      </w:r>
      <w:r>
        <w:rPr>
          <w:sz w:val="20"/>
          <w:szCs w:val="20"/>
          <w:color w:val="auto"/>
        </w:rPr>
        <w:tab/>
      </w:r>
      <w:r>
        <w:rPr>
          <w:rFonts w:ascii="Times New Roman" w:cs="Times New Roman" w:eastAsia="Times New Roman" w:hAnsi="Times New Roman"/>
          <w:sz w:val="21"/>
          <w:szCs w:val="21"/>
          <w:color w:val="auto"/>
        </w:rPr>
        <w:t>[NAME OF PARTICIPANT]</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ind w:left="4960"/>
        <w:spacing w:after="0"/>
        <w:rPr>
          <w:sz w:val="20"/>
          <w:szCs w:val="20"/>
          <w:color w:val="auto"/>
        </w:rPr>
      </w:pPr>
      <w:r>
        <w:rPr>
          <w:rFonts w:ascii="Times New Roman" w:cs="Times New Roman" w:eastAsia="Times New Roman" w:hAnsi="Times New Roman"/>
          <w:sz w:val="22"/>
          <w:szCs w:val="22"/>
          <w:b w:val="1"/>
          <w:bCs w:val="1"/>
          <w:color w:val="auto"/>
        </w:rPr>
        <w:t>EXHIBIT H-4</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FORM OF U.S. TAX COMPLIANCE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Foreign Lenders That Are Partnerships For U.S. Federal Income Tax Purposes)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Reference is hereby made to the Loan and Security Agreement dated as of November 6, 2024 (as amended, supplemented or otherwise modified from time to time, the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several banks and other financial institutions or entities from time to time parties thereto (collectively, referred to as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HERCULES CAPITAL, INC., a Maryland corporation, in its capacity as administrative agent and collateral agent for itself and the Lenders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undersigned has furnished the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Loan Agreement and used herein shall have the meanings given to them in the Loan Agreement.</w:t>
      </w:r>
    </w:p>
    <w:p>
      <w:pPr>
        <w:spacing w:after="0" w:line="172" w:lineRule="exact"/>
        <w:rPr>
          <w:sz w:val="20"/>
          <w:szCs w:val="20"/>
          <w:color w:val="auto"/>
        </w:rPr>
      </w:pPr>
    </w:p>
    <w:p>
      <w:pPr>
        <w:ind w:left="100"/>
        <w:spacing w:after="0"/>
        <w:tabs>
          <w:tab w:leader="none" w:pos="5180" w:val="left"/>
        </w:tabs>
        <w:rPr>
          <w:sz w:val="20"/>
          <w:szCs w:val="20"/>
          <w:color w:val="auto"/>
        </w:rPr>
      </w:pPr>
      <w:r>
        <w:rPr>
          <w:rFonts w:ascii="Times New Roman" w:cs="Times New Roman" w:eastAsia="Times New Roman" w:hAnsi="Times New Roman"/>
          <w:sz w:val="22"/>
          <w:szCs w:val="22"/>
          <w:color w:val="auto"/>
        </w:rPr>
        <w:t>Date: ___________, 20___</w:t>
      </w:r>
      <w:r>
        <w:rPr>
          <w:sz w:val="20"/>
          <w:szCs w:val="20"/>
          <w:color w:val="auto"/>
        </w:rPr>
        <w:tab/>
      </w:r>
      <w:r>
        <w:rPr>
          <w:rFonts w:ascii="Times New Roman" w:cs="Times New Roman" w:eastAsia="Times New Roman" w:hAnsi="Times New Roman"/>
          <w:sz w:val="21"/>
          <w:szCs w:val="21"/>
          <w:color w:val="auto"/>
        </w:rPr>
        <w:t>[NAME OF LENDER]</w:t>
      </w:r>
    </w:p>
    <w:p>
      <w:pPr>
        <w:spacing w:after="0" w:line="1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3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TRANCHE 1-</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TRANCHE 1-</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TRANCHE 1-</w:t>
            </w:r>
          </w:p>
        </w:tc>
        <w:tc>
          <w:tcPr>
            <w:tcW w:w="14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TRANCHE 2</w:t>
            </w:r>
          </w:p>
        </w:tc>
        <w:tc>
          <w:tcPr>
            <w:tcW w:w="138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TRANCHE 3</w:t>
            </w:r>
          </w:p>
        </w:tc>
        <w:tc>
          <w:tcPr>
            <w:tcW w:w="14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TRANCHE 4</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8"/>
        </w:trPr>
        <w:tc>
          <w:tcPr>
            <w:tcW w:w="1360" w:type="dxa"/>
            <w:vAlign w:val="bottom"/>
            <w:tcBorders>
              <w:left w:val="single" w:sz="8" w:color="auto"/>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w:t>
            </w:r>
          </w:p>
        </w:tc>
      </w:tr>
      <w:tr>
        <w:trPr>
          <w:trHeight w:val="44"/>
        </w:trPr>
        <w:tc>
          <w:tcPr>
            <w:tcW w:w="136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88"/>
        </w:trPr>
        <w:tc>
          <w:tcPr>
            <w:tcW w:w="136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Hercules</w:t>
            </w:r>
          </w:p>
        </w:tc>
        <w:tc>
          <w:tcPr>
            <w:tcW w:w="13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w:t>
            </w: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Capital, Inc.</w:t>
            </w: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1"/>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Hercules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Capital IV,</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1"/>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Hercules SBIC</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V, L.P.</w:t>
            </w: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1"/>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Hercules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Capital Private</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Credit Fund 1</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1"/>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Hercules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Private Global</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Venture</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Growth Fund I</w:t>
            </w: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4"/>
        </w:trPr>
        <w:tc>
          <w:tcPr>
            <w:tcW w:w="1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w:t>
            </w:r>
          </w:p>
        </w:tc>
      </w:tr>
      <w:tr>
        <w:trPr>
          <w:trHeight w:val="22"/>
        </w:trPr>
        <w:tc>
          <w:tcPr>
            <w:tcW w:w="1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920" w:firstLine="749"/>
        <w:spacing w:after="0" w:line="258" w:lineRule="auto"/>
        <w:rPr>
          <w:sz w:val="20"/>
          <w:szCs w:val="20"/>
          <w:color w:val="auto"/>
        </w:rPr>
      </w:pPr>
      <w:r>
        <w:rPr>
          <w:rFonts w:ascii="Times New Roman" w:cs="Times New Roman" w:eastAsia="Times New Roman" w:hAnsi="Times New Roman"/>
          <w:sz w:val="22"/>
          <w:szCs w:val="22"/>
          <w:color w:val="auto"/>
        </w:rPr>
        <w:t>*Funding of Tranche 4 is conditioned on approval by Lender’s investment committee in its sole and unfettered discretion.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7" w:name="page118"/>
    <w:bookmarkEnd w:id="117"/>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Existing Permitted Indebtedness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1B</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Existing Permitted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Existing Permitted Liens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5.3</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Consents, Etc.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5.8</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5.9</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Current Company IP Claims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Schedules-1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18" w:name="page119"/>
    <w:bookmarkEnd w:id="118"/>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5.10(a)</w:t>
      </w:r>
    </w:p>
    <w:p>
      <w:pPr>
        <w:spacing w:after="0" w:line="206"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22"/>
          <w:szCs w:val="22"/>
          <w:b w:val="1"/>
          <w:bCs w:val="1"/>
          <w:color w:val="auto"/>
        </w:rPr>
        <w:t>Current Company 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Schedules-2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19" w:name="page120"/>
    <w:bookmarkEnd w:id="119"/>
    <w:p>
      <w:pPr>
        <w:ind w:left="47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5.10(f)</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Circumstances to Invalidate or Render Unenforceable Current Company IP or Ownership or Entitlement to License and</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Exploit Current Company 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5.10(g)</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Specified Disputes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5.10(i)</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Claims Regarding Current Company 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5.10(j)</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Infringement or Violation of Third Party 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5.10(k)</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Certain Settlements, Covenants Not to Sue, Consents, Judgments, Orders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5.10(l)</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Infringement, Violation, Misappropriation of Current Company 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5.10(o)</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Lack of Rights to Current Company 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Schedules-3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120" w:name="page121"/>
    <w:bookmarkEnd w:id="120"/>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5.11</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Borrower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5.14</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Part A -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22"/>
          <w:szCs w:val="22"/>
          <w:b w:val="1"/>
          <w:bCs w:val="1"/>
          <w:color w:val="auto"/>
        </w:rPr>
        <w:t>Part B - Capitalization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Schedules-4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254250" cy="351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 Medicine Secures $200 Million in Non-Dilutive Debt Financing from Hercules Capital, Inc.</w:t>
      </w:r>
    </w:p>
    <w:p>
      <w:pPr>
        <w:spacing w:after="0" w:line="323" w:lineRule="exact"/>
        <w:rPr>
          <w:sz w:val="20"/>
          <w:szCs w:val="20"/>
          <w:color w:val="auto"/>
        </w:rPr>
      </w:pPr>
    </w:p>
    <w:p>
      <w:pPr>
        <w:ind w:left="760" w:hanging="378"/>
        <w:spacing w:after="0"/>
        <w:tabs>
          <w:tab w:leader="none" w:pos="760" w:val="left"/>
        </w:tabs>
        <w:numPr>
          <w:ilvl w:val="0"/>
          <w:numId w:val="10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Facility significantly increases future financial and operational flexibility</w:t>
      </w:r>
    </w:p>
    <w:p>
      <w:pPr>
        <w:spacing w:after="0" w:line="106" w:lineRule="exact"/>
        <w:rPr>
          <w:rFonts w:ascii="Times New Roman" w:cs="Times New Roman" w:eastAsia="Times New Roman" w:hAnsi="Times New Roman"/>
          <w:sz w:val="20"/>
          <w:szCs w:val="20"/>
          <w:color w:val="auto"/>
        </w:rPr>
      </w:pPr>
    </w:p>
    <w:p>
      <w:pPr>
        <w:ind w:left="760" w:right="480" w:hanging="378"/>
        <w:spacing w:after="0" w:line="256" w:lineRule="auto"/>
        <w:tabs>
          <w:tab w:leader="none" w:pos="760" w:val="left"/>
        </w:tabs>
        <w:numPr>
          <w:ilvl w:val="0"/>
          <w:numId w:val="10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Up to $200M available, with $30 million drawn at close and additional $80 million available at Disc’s sole discretion through second-half 2026</w:t>
      </w:r>
    </w:p>
    <w:p>
      <w:pPr>
        <w:spacing w:after="0" w:line="48" w:lineRule="exact"/>
        <w:rPr>
          <w:rFonts w:ascii="Times New Roman" w:cs="Times New Roman" w:eastAsia="Times New Roman" w:hAnsi="Times New Roman"/>
          <w:sz w:val="20"/>
          <w:szCs w:val="20"/>
          <w:color w:val="auto"/>
        </w:rPr>
      </w:pPr>
    </w:p>
    <w:p>
      <w:pPr>
        <w:ind w:left="760" w:right="60" w:hanging="378"/>
        <w:spacing w:after="0" w:line="256" w:lineRule="auto"/>
        <w:tabs>
          <w:tab w:leader="none" w:pos="760" w:val="left"/>
        </w:tabs>
        <w:numPr>
          <w:ilvl w:val="0"/>
          <w:numId w:val="10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Funding can support development across the portfolio, including the recently announced potential accelerated approval pathway for bitopertin in EPP</w:t>
      </w:r>
    </w:p>
    <w:p>
      <w:pPr>
        <w:spacing w:after="0" w:line="156"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WATERTOWN, Mass. (November 8, 2024) – Disc Medicine, Inc. (NASDAQ:IRON), a clinical-stage biopharmaceutical company focused on the discovery, development, and commercialization of novel treatments for patients suffering from serious hematologic diseases, today announced that it has obtained a $200 million non-dilutive term loan facility from Hercules Capital, Inc. (NYSE:HTGC), a leader in customized debt financing for companies in the life sciences and technology-related markets. This financing provides funding options to support anticipated key catalysts, including the expected initiation of a confirmatory study of bitopertin in erythropoietic protoporphyria (EPP), a Phase 2 study of DISC-0974 in anemia of myelofibrosis (MF) and a multiple dose study in anemia of non-dialysis dependent chronic kidney disease (NDD-CKD), and a Phase 2 study of DISC-3405 in polycythemia vera (PV).</w:t>
      </w:r>
    </w:p>
    <w:p>
      <w:pPr>
        <w:spacing w:after="0" w:line="173"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color w:val="auto"/>
        </w:rPr>
        <w:t>“With this non-dilutive $200 million financing, we are well-positioned as we prepare for upcoming catalysts across our entire pipeline including the potential initiation of a confirmatory trial of bitopertin in EPP by mid-2025 and related commercial preparations,” said Jean Franchi, Chief Financial Officer of Disc. “Not only does this non-dilutive financing strengthen what we believe to be an already strong financial position, it provides optionality and strategic flexibility in future capital formation as we continue to advance our pipeline in pursuit of our mission to deliver innovative treatments to patients suffering from serious hematologic diseases.”</w:t>
      </w:r>
    </w:p>
    <w:p>
      <w:pPr>
        <w:spacing w:after="0" w:line="172"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“Hercules is pleased to partner with Disc in the further development of their hematology pipeline,” said Bryan Jadot, Senior Managing Director and Group Head at Hercules Capital. “We are committed to financing promising life sciences companies to help them achieve their ambitious goals, and we are excited to collaborate with the Disc team ahead of numerous milestones and support them in their next phase of growth.”</w:t>
      </w:r>
    </w:p>
    <w:p>
      <w:pPr>
        <w:spacing w:after="0" w:line="172"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The loan facility consists of up to four tranches, three of which can be drawn at Disc’s option and each maturing in November 2029. The loan facility provides for at least 48-months of interest-only at close, which interest-only period can be extended up to 60 months upon satisfaction of certain milestones. An initial $30 million tranche was funded at closing with an additional $80 million available to be drawn at Disc’s option. An additional $65 million is available subject to the Company’s achievement of specified performance milestones. The final $25 million tranche is available for draw, at Disc’s option and subject to Hercules consent during the interest-only period.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Armentum Partners acted as the Company’s exclusive financial advisor on this transaction.</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Additional details of the loan agreement will be filed with the Securities and Exchange Commission on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2" w:name="page123"/>
    <w:bookmarkEnd w:id="122"/>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About Disc Medicine, Inc</w:t>
      </w:r>
      <w:r>
        <w:rPr>
          <w:rFonts w:ascii="Arial" w:cs="Arial" w:eastAsia="Arial" w:hAnsi="Arial"/>
          <w:sz w:val="20"/>
          <w:szCs w:val="20"/>
          <w:color w:val="auto"/>
        </w:rPr>
        <w:t>.</w:t>
      </w:r>
    </w:p>
    <w:p>
      <w:pPr>
        <w:spacing w:after="0" w:line="204"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20"/>
          <w:szCs w:val="20"/>
          <w:u w:val="single" w:color="auto"/>
          <w:color w:val="0563C1"/>
        </w:rPr>
        <w:t>www.discmedicine.com</w:t>
      </w: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 Cautionary Statement Regarding Forward-Looking Statements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including, but not limited to, express or implied statements regarding Disc’s expectations with respect to its potential confirmatory study of bitopertin in EPP, Phase 2 study of DISC-0974 in anemia of MF, multiple dose study in anemia of NDD-CKD, Phase 2 study of DISC-3405 in PV, and its other clinical activities and related timelines; its commercialization preparations; and its financial position and future capital formation options.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our Annual Report on Form 10-K for the year ended December 31, 2023,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Peg Rusconi</w:t>
      </w:r>
    </w:p>
    <w:p>
      <w:pPr>
        <w:spacing w:after="0" w:line="226" w:lineRule="auto"/>
        <w:rPr>
          <w:sz w:val="20"/>
          <w:szCs w:val="20"/>
          <w:color w:val="auto"/>
        </w:rPr>
      </w:pPr>
      <w:r>
        <w:rPr>
          <w:rFonts w:ascii="Arial" w:cs="Arial" w:eastAsia="Arial" w:hAnsi="Arial"/>
          <w:sz w:val="20"/>
          <w:szCs w:val="20"/>
          <w:color w:val="auto"/>
        </w:rPr>
        <w:t>Deerfield Group</w:t>
      </w:r>
    </w:p>
    <w:p>
      <w:pPr>
        <w:spacing w:after="0"/>
        <w:rPr>
          <w:sz w:val="20"/>
          <w:szCs w:val="20"/>
          <w:color w:val="auto"/>
        </w:rPr>
      </w:pPr>
      <w:r>
        <w:rPr>
          <w:rFonts w:ascii="Arial" w:cs="Arial" w:eastAsia="Arial" w:hAnsi="Arial"/>
          <w:sz w:val="20"/>
          <w:szCs w:val="20"/>
          <w:u w:val="single" w:color="auto"/>
          <w:color w:val="0563C1"/>
        </w:rPr>
        <w:t>peg.rusconi@deerfieldgroup.com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31" w:lineRule="auto"/>
        <w:rPr>
          <w:sz w:val="20"/>
          <w:szCs w:val="20"/>
          <w:color w:val="auto"/>
        </w:rPr>
      </w:pPr>
      <w:r>
        <w:rPr>
          <w:rFonts w:ascii="Arial" w:cs="Arial" w:eastAsia="Arial" w:hAnsi="Arial"/>
          <w:sz w:val="20"/>
          <w:szCs w:val="20"/>
          <w:color w:val="auto"/>
        </w:rPr>
        <w:t>Christina Tartaglia</w:t>
      </w:r>
    </w:p>
    <w:p>
      <w:pPr>
        <w:spacing w:after="0" w:line="226" w:lineRule="auto"/>
        <w:rPr>
          <w:sz w:val="20"/>
          <w:szCs w:val="20"/>
          <w:color w:val="auto"/>
        </w:rPr>
      </w:pPr>
      <w:r>
        <w:rPr>
          <w:rFonts w:ascii="Arial" w:cs="Arial" w:eastAsia="Arial" w:hAnsi="Arial"/>
          <w:sz w:val="20"/>
          <w:szCs w:val="20"/>
          <w:color w:val="auto"/>
        </w:rPr>
        <w:t>Precision AQ</w:t>
      </w:r>
    </w:p>
    <w:p>
      <w:pPr>
        <w:spacing w:after="0"/>
        <w:rPr>
          <w:sz w:val="20"/>
          <w:szCs w:val="20"/>
          <w:color w:val="auto"/>
        </w:rPr>
      </w:pPr>
      <w:r>
        <w:rPr>
          <w:rFonts w:ascii="Arial" w:cs="Arial" w:eastAsia="Arial" w:hAnsi="Arial"/>
          <w:sz w:val="19"/>
          <w:szCs w:val="19"/>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1565275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lowerLetter"/>
      <w:start w:val="4"/>
    </w:lvl>
  </w:abstractNum>
  <w:abstractNum w:abstractNumId="2">
    <w:nsid w:val="4F4EF005"/>
    <w:multiLevelType w:val="hybridMultilevel"/>
    <w:lvl w:ilvl="0">
      <w:lvlJc w:val="left"/>
      <w:lvlText w:val="†"/>
      <w:numFmt w:val="bullet"/>
      <w:start w:val="1"/>
    </w:lvl>
    <w:lvl w:ilvl="1">
      <w:lvlJc w:val="left"/>
      <w:lvlText w:val="%2"/>
      <w:numFmt w:val="decimal"/>
      <w:start w:val="104"/>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1."/>
      <w:numFmt w:val="upperLetter"/>
      <w:start w:val="1"/>
    </w:lvl>
  </w:abstractNum>
  <w:abstractNum w:abstractNumId="5">
    <w:nsid w:val="275AC794"/>
    <w:multiLevelType w:val="hybridMultilevel"/>
    <w:lvl w:ilvl="0">
      <w:lvlJc w:val="left"/>
      <w:lvlText w:val="(%1)"/>
      <w:numFmt w:val="lowerLetter"/>
      <w:start w:val="1"/>
    </w:lvl>
  </w:abstractNum>
  <w:abstractNum w:abstractNumId="6">
    <w:nsid w:val="39386575"/>
    <w:multiLevelType w:val="hybridMultilevel"/>
    <w:lvl w:ilvl="0">
      <w:lvlJc w:val="left"/>
      <w:lvlText w:val="(%1)"/>
      <w:numFmt w:val="lowerRoman"/>
      <w:start w:val="1"/>
    </w:lvl>
  </w:abstractNum>
  <w:abstractNum w:abstractNumId="7">
    <w:nsid w:val="1CF10FD8"/>
    <w:multiLevelType w:val="hybridMultilevel"/>
    <w:lvl w:ilvl="0">
      <w:lvlJc w:val="left"/>
      <w:lvlText w:val="%1"/>
      <w:numFmt w:val="decimal"/>
      <w:start w:val="1"/>
    </w:lvl>
    <w:lvl w:ilvl="1">
      <w:lvlJc w:val="left"/>
      <w:lvlText w:val="(%2)"/>
      <w:numFmt w:val="lowerLetter"/>
      <w:start w:val="1"/>
    </w:lvl>
  </w:abstractNum>
  <w:abstractNum w:abstractNumId="8">
    <w:nsid w:val="180115BE"/>
    <w:multiLevelType w:val="hybridMultilevel"/>
    <w:lvl w:ilvl="0">
      <w:lvlJc w:val="left"/>
      <w:lvlText w:val="(%1)"/>
      <w:numFmt w:val="decimal"/>
      <w:start w:val="45"/>
    </w:lvl>
    <w:lvl w:ilvl="1">
      <w:lvlJc w:val="left"/>
      <w:lvlText w:val="(%2)"/>
      <w:numFmt w:val="lowerLetter"/>
      <w:start w:val="5"/>
    </w:lvl>
  </w:abstractNum>
  <w:abstractNum w:abstractNumId="9">
    <w:nsid w:val="235BA861"/>
    <w:multiLevelType w:val="hybridMultilevel"/>
    <w:lvl w:ilvl="0">
      <w:lvlJc w:val="left"/>
      <w:lvlText w:val="(%1)"/>
      <w:numFmt w:val="lowerLetter"/>
      <w:start w:val="4"/>
    </w:lvl>
  </w:abstractNum>
  <w:abstractNum w:abstractNumId="10">
    <w:nsid w:val="47398C89"/>
    <w:multiLevelType w:val="hybridMultilevel"/>
    <w:lvl w:ilvl="0">
      <w:lvlJc w:val="left"/>
      <w:lvlText w:val="(%1)"/>
      <w:numFmt w:val="lowerRoman"/>
      <w:start w:val="1"/>
    </w:lvl>
  </w:abstractNum>
  <w:abstractNum w:abstractNumId="11">
    <w:nsid w:val="354FE9F9"/>
    <w:multiLevelType w:val="hybridMultilevel"/>
    <w:lvl w:ilvl="0">
      <w:lvlJc w:val="left"/>
      <w:lvlText w:val="(%1)"/>
      <w:numFmt w:val="lowerRoman"/>
      <w:start w:val="7"/>
    </w:lvl>
  </w:abstractNum>
  <w:abstractNum w:abstractNumId="12">
    <w:nsid w:val="15B5AF5C"/>
    <w:multiLevelType w:val="hybridMultilevel"/>
    <w:lvl w:ilvl="0">
      <w:lvlJc w:val="left"/>
      <w:lvlText w:val="(%1)"/>
      <w:numFmt w:val="lowerRoman"/>
      <w:start w:val="1"/>
    </w:lvl>
  </w:abstractNum>
  <w:abstractNum w:abstractNumId="13">
    <w:nsid w:val="741226BB"/>
    <w:multiLevelType w:val="hybridMultilevel"/>
    <w:lvl w:ilvl="0">
      <w:lvlJc w:val="left"/>
      <w:lvlText w:val="(%1)"/>
      <w:numFmt w:val="lowerRoman"/>
      <w:start w:val="6"/>
    </w:lvl>
  </w:abstractNum>
  <w:abstractNum w:abstractNumId="14">
    <w:nsid w:val="D34B6A8"/>
    <w:multiLevelType w:val="hybridMultilevel"/>
    <w:lvl w:ilvl="0">
      <w:lvlJc w:val="left"/>
      <w:lvlText w:val="(%1)"/>
      <w:numFmt w:val="lowerRoman"/>
      <w:start w:val="1"/>
    </w:lvl>
  </w:abstractNum>
  <w:abstractNum w:abstractNumId="15">
    <w:nsid w:val="10233C99"/>
    <w:multiLevelType w:val="hybridMultilevel"/>
    <w:lvl w:ilvl="0">
      <w:lvlJc w:val="left"/>
      <w:lvlText w:val="(%1)"/>
      <w:numFmt w:val="lowerRoman"/>
      <w:start w:val="3"/>
    </w:lvl>
  </w:abstractNum>
  <w:abstractNum w:abstractNumId="16">
    <w:nsid w:val="3F6AB60F"/>
    <w:multiLevelType w:val="hybridMultilevel"/>
    <w:lvl w:ilvl="0">
      <w:lvlJc w:val="left"/>
      <w:lvlText w:val="(%1)"/>
      <w:numFmt w:val="lowerRoman"/>
      <w:start w:val="14"/>
    </w:lvl>
  </w:abstractNum>
  <w:abstractNum w:abstractNumId="17">
    <w:nsid w:val="61574095"/>
    <w:multiLevelType w:val="hybridMultilevel"/>
    <w:lvl w:ilvl="0">
      <w:lvlJc w:val="left"/>
      <w:lvlText w:val="(%1)"/>
      <w:numFmt w:val="lowerRoman"/>
      <w:start w:val="1"/>
    </w:lvl>
  </w:abstractNum>
  <w:abstractNum w:abstractNumId="18">
    <w:nsid w:val="7E0C57B1"/>
    <w:multiLevelType w:val="hybridMultilevel"/>
    <w:lvl w:ilvl="0">
      <w:lvlJc w:val="left"/>
      <w:lvlText w:val="(%1)"/>
      <w:numFmt w:val="lowerRoman"/>
      <w:start w:val="8"/>
    </w:lvl>
  </w:abstractNum>
  <w:abstractNum w:abstractNumId="19">
    <w:nsid w:val="77AE35EB"/>
    <w:multiLevelType w:val="hybridMultilevel"/>
    <w:lvl w:ilvl="0">
      <w:lvlJc w:val="left"/>
      <w:lvlText w:val="(%1)"/>
      <w:numFmt w:val="lowerRoman"/>
      <w:start w:val="9"/>
    </w:lvl>
  </w:abstractNum>
  <w:abstractNum w:abstractNumId="20">
    <w:nsid w:val="579BE4F1"/>
    <w:multiLevelType w:val="hybridMultilevel"/>
    <w:lvl w:ilvl="0">
      <w:lvlJc w:val="left"/>
      <w:lvlText w:val="(%1)"/>
      <w:numFmt w:val="lowerRoman"/>
      <w:start w:val="10"/>
    </w:lvl>
  </w:abstractNum>
  <w:abstractNum w:abstractNumId="21">
    <w:nsid w:val="310C50B3"/>
    <w:multiLevelType w:val="hybridMultilevel"/>
    <w:lvl w:ilvl="0">
      <w:lvlJc w:val="left"/>
      <w:lvlText w:val="(%1)"/>
      <w:numFmt w:val="lowerLetter"/>
      <w:start w:val="1"/>
    </w:lvl>
  </w:abstractNum>
  <w:abstractNum w:abstractNumId="22">
    <w:nsid w:val="5FF87E05"/>
    <w:multiLevelType w:val="hybridMultilevel"/>
    <w:lvl w:ilvl="0">
      <w:lvlJc w:val="left"/>
      <w:lvlText w:val="(%1)"/>
      <w:numFmt w:val="lowerLetter"/>
      <w:start w:val="2"/>
    </w:lvl>
  </w:abstractNum>
  <w:abstractNum w:abstractNumId="23">
    <w:nsid w:val="2F305DEF"/>
    <w:multiLevelType w:val="hybridMultilevel"/>
    <w:lvl w:ilvl="0">
      <w:lvlJc w:val="left"/>
      <w:lvlText w:val="(%1)"/>
      <w:numFmt w:val="lowerLetter"/>
      <w:start w:val="1"/>
    </w:lvl>
    <w:lvl w:ilvl="1">
      <w:lvlJc w:val="left"/>
      <w:lvlText w:val="(%2)"/>
      <w:numFmt w:val="lowerRoman"/>
      <w:start w:val="1"/>
    </w:lvl>
  </w:abstractNum>
  <w:abstractNum w:abstractNumId="24">
    <w:nsid w:val="25A70BF7"/>
    <w:multiLevelType w:val="hybridMultilevel"/>
    <w:lvl w:ilvl="0">
      <w:lvlJc w:val="left"/>
      <w:lvlText w:val="(%1)"/>
      <w:numFmt w:val="lowerLetter"/>
      <w:start w:val="2"/>
    </w:lvl>
  </w:abstractNum>
  <w:abstractNum w:abstractNumId="25">
    <w:nsid w:val="1DBABF00"/>
    <w:multiLevelType w:val="hybridMultilevel"/>
    <w:lvl w:ilvl="0">
      <w:lvlJc w:val="left"/>
      <w:lvlText w:val="(%1)"/>
      <w:numFmt w:val="lowerLetter"/>
      <w:start w:val="1"/>
    </w:lvl>
  </w:abstractNum>
  <w:abstractNum w:abstractNumId="26">
    <w:nsid w:val="4AD084E9"/>
    <w:multiLevelType w:val="hybridMultilevel"/>
    <w:lvl w:ilvl="0">
      <w:lvlJc w:val="left"/>
      <w:lvlText w:val="(%1)"/>
      <w:numFmt w:val="lowerLetter"/>
      <w:start w:val="7"/>
    </w:lvl>
    <w:lvl w:ilvl="1">
      <w:lvlJc w:val="left"/>
      <w:lvlText w:val="(%2)"/>
      <w:numFmt w:val="lowerRoman"/>
      <w:start w:val="1"/>
    </w:lvl>
  </w:abstractNum>
  <w:abstractNum w:abstractNumId="27">
    <w:nsid w:val="1F48EAA1"/>
    <w:multiLevelType w:val="hybridMultilevel"/>
    <w:lvl w:ilvl="0">
      <w:lvlJc w:val="left"/>
      <w:lvlText w:val="(%1)"/>
      <w:numFmt w:val="lowerRoman"/>
      <w:start w:val="1"/>
    </w:lvl>
  </w:abstractNum>
  <w:abstractNum w:abstractNumId="28">
    <w:nsid w:val="1381823A"/>
    <w:multiLevelType w:val="hybridMultilevel"/>
    <w:lvl w:ilvl="0">
      <w:lvlJc w:val="left"/>
      <w:lvlText w:val="(%1)"/>
      <w:numFmt w:val="lowerLetter"/>
      <w:start w:val="1"/>
    </w:lvl>
  </w:abstractNum>
  <w:abstractNum w:abstractNumId="29">
    <w:nsid w:val="5DB70AE5"/>
    <w:multiLevelType w:val="hybridMultilevel"/>
    <w:lvl w:ilvl="0">
      <w:lvlJc w:val="left"/>
      <w:lvlText w:val="(%1)"/>
      <w:numFmt w:val="lowerLetter"/>
      <w:start w:val="10"/>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Letter"/>
      <w:start w:val="4"/>
    </w:lvl>
  </w:abstractNum>
  <w:abstractNum w:abstractNumId="32">
    <w:nsid w:val="15014ACB"/>
    <w:multiLevelType w:val="hybridMultilevel"/>
    <w:lvl w:ilvl="0">
      <w:lvlJc w:val="left"/>
      <w:lvlText w:val="(%1)"/>
      <w:numFmt w:val="lowerLetter"/>
      <w:start w:val="1"/>
    </w:lvl>
  </w:abstractNum>
  <w:abstractNum w:abstractNumId="33">
    <w:nsid w:val="5F5E7FD0"/>
    <w:multiLevelType w:val="hybridMultilevel"/>
    <w:lvl w:ilvl="0">
      <w:lvlJc w:val="left"/>
      <w:lvlText w:val="(%1)"/>
      <w:numFmt w:val="lowerLetter"/>
      <w:start w:val="2"/>
    </w:lvl>
  </w:abstractNum>
  <w:abstractNum w:abstractNumId="34">
    <w:nsid w:val="98A3148"/>
    <w:multiLevelType w:val="hybridMultilevel"/>
    <w:lvl w:ilvl="0">
      <w:lvlJc w:val="left"/>
      <w:lvlText w:val="(%1)"/>
      <w:numFmt w:val="lowerLetter"/>
      <w:start w:val="1"/>
    </w:lvl>
  </w:abstractNum>
  <w:abstractNum w:abstractNumId="35">
    <w:nsid w:val="799D0247"/>
    <w:multiLevelType w:val="hybridMultilevel"/>
    <w:lvl w:ilvl="0">
      <w:lvlJc w:val="left"/>
      <w:lvlText w:val="(%1)"/>
      <w:numFmt w:val="lowerLetter"/>
      <w:start w:val="3"/>
    </w:lvl>
  </w:abstractNum>
  <w:abstractNum w:abstractNumId="36">
    <w:nsid w:val="6B94764"/>
    <w:multiLevelType w:val="hybridMultilevel"/>
    <w:lvl w:ilvl="0">
      <w:lvlJc w:val="left"/>
      <w:lvlText w:val="(%1)"/>
      <w:numFmt w:val="lowerLetter"/>
      <w:start w:val="1"/>
    </w:lvl>
  </w:abstractNum>
  <w:abstractNum w:abstractNumId="37">
    <w:nsid w:val="42C296BD"/>
    <w:multiLevelType w:val="hybridMultilevel"/>
    <w:lvl w:ilvl="0">
      <w:lvlJc w:val="left"/>
      <w:lvlText w:val="(%1)"/>
      <w:numFmt w:val="lowerLetter"/>
      <w:start w:val="3"/>
    </w:lvl>
  </w:abstractNum>
  <w:abstractNum w:abstractNumId="38">
    <w:nsid w:val="168E121F"/>
    <w:multiLevelType w:val="hybridMultilevel"/>
    <w:lvl w:ilvl="0">
      <w:lvlJc w:val="left"/>
      <w:lvlText w:val="(%1)"/>
      <w:numFmt w:val="lowerLetter"/>
      <w:start w:val="1"/>
    </w:lvl>
  </w:abstractNum>
  <w:abstractNum w:abstractNumId="39">
    <w:nsid w:val="1EBA5D23"/>
    <w:multiLevelType w:val="hybridMultilevel"/>
    <w:lvl w:ilvl="0">
      <w:lvlJc w:val="left"/>
      <w:lvlText w:val="(%1)"/>
      <w:numFmt w:val="lowerLetter"/>
      <w:start w:val="2"/>
    </w:lvl>
  </w:abstractNum>
  <w:abstractNum w:abstractNumId="40">
    <w:nsid w:val="661E3F1E"/>
    <w:multiLevelType w:val="hybridMultilevel"/>
    <w:lvl w:ilvl="0">
      <w:lvlJc w:val="left"/>
      <w:lvlText w:val="(%1)"/>
      <w:numFmt w:val="lowerLetter"/>
      <w:start w:val="7"/>
    </w:lvl>
  </w:abstractNum>
  <w:abstractNum w:abstractNumId="41">
    <w:nsid w:val="5DC79EA8"/>
    <w:multiLevelType w:val="hybridMultilevel"/>
    <w:lvl w:ilvl="0">
      <w:lvlJc w:val="left"/>
      <w:lvlText w:val="(%1)"/>
      <w:numFmt w:val="lowerLetter"/>
      <w:start w:val="13"/>
    </w:lvl>
  </w:abstractNum>
  <w:abstractNum w:abstractNumId="42">
    <w:nsid w:val="540A471C"/>
    <w:multiLevelType w:val="hybridMultilevel"/>
    <w:lvl w:ilvl="0">
      <w:lvlJc w:val="left"/>
      <w:lvlText w:val="(%1)"/>
      <w:numFmt w:val="decimal"/>
      <w:start w:val="30"/>
    </w:lvl>
  </w:abstractNum>
  <w:abstractNum w:abstractNumId="43">
    <w:nsid w:val="7BD3EE7B"/>
    <w:multiLevelType w:val="hybridMultilevel"/>
    <w:lvl w:ilvl="0">
      <w:lvlJc w:val="left"/>
      <w:lvlText w:val="(%1)"/>
      <w:numFmt w:val="decimal"/>
      <w:start w:val="10"/>
    </w:lvl>
  </w:abstractNum>
  <w:abstractNum w:abstractNumId="44">
    <w:nsid w:val="51D9C564"/>
    <w:multiLevelType w:val="hybridMultilevel"/>
    <w:lvl w:ilvl="0">
      <w:lvlJc w:val="left"/>
      <w:lvlText w:val="%1"/>
      <w:numFmt w:val="lowerLetter"/>
      <w:start w:val="1"/>
    </w:lvl>
    <w:lvl w:ilvl="1">
      <w:lvlJc w:val="left"/>
      <w:lvlText w:val="(%2)"/>
      <w:numFmt w:val="lowerLetter"/>
      <w:start w:val="1"/>
    </w:lvl>
  </w:abstractNum>
  <w:abstractNum w:abstractNumId="45">
    <w:nsid w:val="613EFDC5"/>
    <w:multiLevelType w:val="hybridMultilevel"/>
    <w:lvl w:ilvl="0">
      <w:lvlJc w:val="left"/>
      <w:lvlText w:val="(%1)"/>
      <w:numFmt w:val="lowerLetter"/>
      <w:start w:val="35"/>
    </w:lvl>
    <w:lvl w:ilvl="1">
      <w:lvlJc w:val="left"/>
      <w:lvlText w:val="(%2)"/>
      <w:numFmt w:val="lowerLetter"/>
      <w:start w:val="3"/>
    </w:lvl>
  </w:abstractNum>
  <w:abstractNum w:abstractNumId="46">
    <w:nsid w:val="BF72B14"/>
    <w:multiLevelType w:val="hybridMultilevel"/>
    <w:lvl w:ilvl="0">
      <w:lvlJc w:val="left"/>
      <w:lvlText w:val="(%1)"/>
      <w:numFmt w:val="lowerLetter"/>
      <w:start w:val="10"/>
    </w:lvl>
  </w:abstractNum>
  <w:abstractNum w:abstractNumId="47">
    <w:nsid w:val="11447B73"/>
    <w:multiLevelType w:val="hybridMultilevel"/>
    <w:lvl w:ilvl="0">
      <w:lvlJc w:val="left"/>
      <w:lvlText w:val="(%1)"/>
      <w:numFmt w:val="lowerLetter"/>
      <w:start w:val="3"/>
    </w:lvl>
  </w:abstractNum>
  <w:abstractNum w:abstractNumId="48">
    <w:nsid w:val="42963E5A"/>
    <w:multiLevelType w:val="hybridMultilevel"/>
    <w:lvl w:ilvl="0">
      <w:lvlJc w:val="left"/>
      <w:lvlText w:val="(%1)"/>
      <w:numFmt w:val="lowerLetter"/>
      <w:start w:val="1"/>
    </w:lvl>
  </w:abstractNum>
  <w:abstractNum w:abstractNumId="49">
    <w:nsid w:val="A0382C5"/>
    <w:multiLevelType w:val="hybridMultilevel"/>
    <w:lvl w:ilvl="0">
      <w:lvlJc w:val="left"/>
      <w:lvlText w:val="(%1)"/>
      <w:numFmt w:val="lowerLetter"/>
      <w:start w:val="5"/>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lowerLetter"/>
      <w:start w:val="2"/>
    </w:lvl>
  </w:abstractNum>
  <w:abstractNum w:abstractNumId="52">
    <w:nsid w:val="3B0FD379"/>
    <w:multiLevelType w:val="hybridMultilevel"/>
    <w:lvl w:ilvl="0">
      <w:lvlJc w:val="left"/>
      <w:lvlText w:val="(%1)"/>
      <w:numFmt w:val="lowerLetter"/>
      <w:start w:val="1"/>
    </w:lvl>
    <w:lvl w:ilvl="1">
      <w:lvlJc w:val="left"/>
      <w:lvlText w:val="(%2)"/>
      <w:numFmt w:val="lowerRoman"/>
      <w:start w:val="1"/>
    </w:lvl>
  </w:abstractNum>
  <w:abstractNum w:abstractNumId="53">
    <w:nsid w:val="68EB2F63"/>
    <w:multiLevelType w:val="hybridMultilevel"/>
    <w:lvl w:ilvl="0">
      <w:lvlJc w:val="left"/>
      <w:lvlText w:val="(%1)"/>
      <w:numFmt w:val="lowerLetter"/>
      <w:start w:val="1"/>
    </w:lvl>
  </w:abstractNum>
  <w:abstractNum w:abstractNumId="54">
    <w:nsid w:val="4962813B"/>
    <w:multiLevelType w:val="hybridMultilevel"/>
    <w:lvl w:ilvl="0">
      <w:lvlJc w:val="left"/>
      <w:lvlText w:val="(%1)"/>
      <w:numFmt w:val="lowerRoman"/>
      <w:start w:val="4"/>
    </w:lvl>
  </w:abstractNum>
  <w:abstractNum w:abstractNumId="55">
    <w:nsid w:val="60B6DF70"/>
    <w:multiLevelType w:val="hybridMultilevel"/>
    <w:lvl w:ilvl="0">
      <w:lvlJc w:val="left"/>
      <w:lvlText w:val="(%1)"/>
      <w:numFmt w:val="lowerRoman"/>
      <w:start w:val="1"/>
    </w:lvl>
  </w:abstractNum>
  <w:abstractNum w:abstractNumId="56">
    <w:nsid w:val="6A5EE64"/>
    <w:multiLevelType w:val="hybridMultilevel"/>
    <w:lvl w:ilvl="0">
      <w:lvlJc w:val="left"/>
      <w:lvlText w:val="(%1)"/>
      <w:numFmt w:val="lowerLetter"/>
      <w:start w:val="1"/>
    </w:lvl>
  </w:abstractNum>
  <w:abstractNum w:abstractNumId="57">
    <w:nsid w:val="14330624"/>
    <w:multiLevelType w:val="hybridMultilevel"/>
    <w:lvl w:ilvl="0">
      <w:lvlJc w:val="left"/>
      <w:lvlText w:val="(%1)"/>
      <w:numFmt w:val="lowerLetter"/>
      <w:start w:val="2"/>
    </w:lvl>
  </w:abstractNum>
  <w:abstractNum w:abstractNumId="58">
    <w:nsid w:val="7FFFCA11"/>
    <w:multiLevelType w:val="hybridMultilevel"/>
    <w:lvl w:ilvl="0">
      <w:lvlJc w:val="left"/>
      <w:lvlText w:val="(%1)"/>
      <w:numFmt w:val="lowerLetter"/>
      <w:start w:val="3"/>
    </w:lvl>
  </w:abstractNum>
  <w:abstractNum w:abstractNumId="59">
    <w:nsid w:val="1A27709E"/>
    <w:multiLevelType w:val="hybridMultilevel"/>
    <w:lvl w:ilvl="0">
      <w:lvlJc w:val="left"/>
      <w:lvlText w:val="(%1)"/>
      <w:numFmt w:val="lowerLetter"/>
      <w:start w:val="1"/>
    </w:lvl>
  </w:abstractNum>
  <w:abstractNum w:abstractNumId="60">
    <w:nsid w:val="71EA1109"/>
    <w:multiLevelType w:val="hybridMultilevel"/>
    <w:lvl w:ilvl="0">
      <w:lvlJc w:val="left"/>
      <w:lvlText w:val="(%1)"/>
      <w:numFmt w:val="lowerLetter"/>
      <w:start w:val="4"/>
    </w:lvl>
  </w:abstractNum>
  <w:abstractNum w:abstractNumId="61">
    <w:nsid w:val="100F59DC"/>
    <w:multiLevelType w:val="hybridMultilevel"/>
    <w:lvl w:ilvl="0">
      <w:lvlJc w:val="left"/>
      <w:lvlText w:val="(%1)"/>
      <w:numFmt w:val="lowerLetter"/>
      <w:start w:val="1"/>
    </w:lvl>
  </w:abstractNum>
  <w:abstractNum w:abstractNumId="62">
    <w:nsid w:val="7FB7E0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3">
    <w:nsid w:val="6EB5BD4"/>
    <w:multiLevelType w:val="hybridMultilevel"/>
    <w:lvl w:ilvl="0">
      <w:lvlJc w:val="left"/>
      <w:lvlText w:val="%1"/>
      <w:numFmt w:val="decimal"/>
      <w:start w:val="1"/>
    </w:lvl>
    <w:lvl w:ilvl="1">
      <w:lvlJc w:val="left"/>
      <w:lvlText w:val="%2."/>
      <w:numFmt w:val="lowerLetter"/>
      <w:start w:val="7"/>
    </w:lvl>
  </w:abstractNum>
  <w:abstractNum w:abstractNumId="64">
    <w:nsid w:val="6F6DD9AC"/>
    <w:multiLevelType w:val="hybridMultilevel"/>
    <w:lvl w:ilvl="0">
      <w:lvlJc w:val="left"/>
      <w:lvlText w:val="%1."/>
      <w:numFmt w:val="decimal"/>
      <w:start w:val="2"/>
    </w:lvl>
    <w:lvl w:ilvl="1">
      <w:lvlJc w:val="left"/>
      <w:lvlText w:val="%2"/>
      <w:numFmt w:val="lowerLetter"/>
      <w:start w:val="1"/>
    </w:lvl>
  </w:abstractNum>
  <w:abstractNum w:abstractNumId="65">
    <w:nsid w:val="94211F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66">
    <w:nsid w:val="885E1B"/>
    <w:multiLevelType w:val="hybridMultilevel"/>
    <w:lvl w:ilvl="0">
      <w:lvlJc w:val="left"/>
      <w:lvlText w:val="%1."/>
      <w:numFmt w:val="lowerRoman"/>
      <w:start w:val="2"/>
    </w:lvl>
    <w:lvl w:ilvl="1">
      <w:lvlJc w:val="left"/>
      <w:lvlText w:val="%2."/>
      <w:numFmt w:val="upperLetter"/>
      <w:start w:val="1"/>
    </w:lvl>
  </w:abstractNum>
  <w:abstractNum w:abstractNumId="67">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8">
    <w:nsid w:val="4C04A8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9">
    <w:nsid w:val="1716703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0">
    <w:nsid w:val="14E17E33"/>
    <w:multiLevelType w:val="hybridMultilevel"/>
    <w:lvl w:ilvl="0">
      <w:lvlJc w:val="left"/>
      <w:lvlText w:val="%1."/>
      <w:numFmt w:val="decimal"/>
      <w:start w:val="9"/>
    </w:lvl>
  </w:abstractNum>
  <w:abstractNum w:abstractNumId="71">
    <w:nsid w:val="3222E7CD"/>
    <w:multiLevelType w:val="hybridMultilevel"/>
    <w:lvl w:ilvl="0">
      <w:lvlJc w:val="left"/>
      <w:lvlText w:val="1"/>
      <w:numFmt w:val="bullet"/>
      <w:start w:val="1"/>
    </w:lvl>
  </w:abstractNum>
  <w:abstractNum w:abstractNumId="72">
    <w:nsid w:val="74DE0EE3"/>
    <w:multiLevelType w:val="hybridMultilevel"/>
    <w:lvl w:ilvl="0">
      <w:lvlJc w:val="left"/>
      <w:lvlText w:val="(%1)"/>
      <w:numFmt w:val="lowerLetter"/>
      <w:start w:val="1"/>
    </w:lvl>
    <w:lvl w:ilvl="1">
      <w:lvlJc w:val="left"/>
      <w:lvlText w:val="%2."/>
      <w:numFmt w:val="decimal"/>
      <w:start w:val="1"/>
    </w:lvl>
  </w:abstractNum>
  <w:abstractNum w:abstractNumId="73">
    <w:nsid w:val="68EBC550"/>
    <w:multiLevelType w:val="hybridMultilevel"/>
    <w:lvl w:ilvl="0">
      <w:lvlJc w:val="left"/>
      <w:lvlText w:val="%1"/>
      <w:numFmt w:val="lowerLetter"/>
      <w:start w:val="1"/>
    </w:lvl>
    <w:lvl w:ilvl="1">
      <w:lvlJc w:val="left"/>
      <w:lvlText w:val="%2."/>
      <w:numFmt w:val="decimal"/>
      <w:start w:val="6"/>
    </w:lvl>
  </w:abstractNum>
  <w:abstractNum w:abstractNumId="74">
    <w:nsid w:val="2DF6D648"/>
    <w:multiLevelType w:val="hybridMultilevel"/>
    <w:lvl w:ilvl="0">
      <w:lvlJc w:val="left"/>
      <w:lvlText w:val="(%1)"/>
      <w:numFmt w:val="lowerLetter"/>
      <w:start w:val="2"/>
    </w:lvl>
    <w:lvl w:ilvl="1">
      <w:lvlJc w:val="left"/>
      <w:lvlText w:val="%2"/>
      <w:numFmt w:val="decimal"/>
      <w:start w:val="1"/>
    </w:lvl>
  </w:abstractNum>
  <w:abstractNum w:abstractNumId="75">
    <w:nsid w:val="46B7D447"/>
    <w:multiLevelType w:val="hybridMultilevel"/>
    <w:lvl w:ilvl="0">
      <w:lvlJc w:val="left"/>
      <w:lvlText w:val="(%1)"/>
      <w:numFmt w:val="lowerLetter"/>
      <w:start w:val="5"/>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3"/>
    </w:lvl>
  </w:abstractNum>
  <w:abstractNum w:abstractNumId="78">
    <w:nsid w:val="57FC4FBB"/>
    <w:multiLevelType w:val="hybridMultilevel"/>
    <w:lvl w:ilvl="0">
      <w:lvlJc w:val="left"/>
      <w:lvlText w:val="(%1)"/>
      <w:numFmt w:val="lowerRoman"/>
      <w:start w:val="1"/>
    </w:lvl>
  </w:abstractNum>
  <w:abstractNum w:abstractNumId="79">
    <w:nsid w:val="CC1016F"/>
    <w:multiLevelType w:val="hybridMultilevel"/>
    <w:lvl w:ilvl="0">
      <w:lvlJc w:val="left"/>
      <w:lvlText w:val="(%1)"/>
      <w:numFmt w:val="lowerLetter"/>
      <w:start w:val="6"/>
    </w:lvl>
    <w:lvl w:ilvl="1">
      <w:lvlJc w:val="left"/>
      <w:lvlText w:val="(%2)"/>
      <w:numFmt w:val="lowerRoman"/>
      <w:start w:val="1"/>
    </w:lvl>
  </w:abstractNum>
  <w:abstractNum w:abstractNumId="80">
    <w:nsid w:val="43F18422"/>
    <w:multiLevelType w:val="hybridMultilevel"/>
    <w:lvl w:ilvl="0">
      <w:lvlJc w:val="left"/>
      <w:lvlText w:val="(%1)"/>
      <w:numFmt w:val="lowerLetter"/>
      <w:start w:val="8"/>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1"/>
    </w:lvl>
    <w:lvl w:ilvl="1">
      <w:lvlJc w:val="left"/>
      <w:lvlText w:val="(%2)"/>
      <w:numFmt w:val="lowerLetter"/>
      <w:start w:val="3"/>
    </w:lvl>
  </w:abstractNum>
  <w:abstractNum w:abstractNumId="83">
    <w:nsid w:val="7F01579B"/>
    <w:multiLevelType w:val="hybridMultilevel"/>
    <w:lvl w:ilvl="0">
      <w:lvlJc w:val="left"/>
      <w:lvlText w:val="(%1)"/>
      <w:numFmt w:val="lowerLetter"/>
      <w:start w:val="9"/>
    </w:lvl>
    <w:lvl w:ilvl="1">
      <w:lvlJc w:val="left"/>
      <w:lvlText w:val="%2"/>
      <w:numFmt w:val="lowerLetter"/>
      <w:start w:val="1"/>
    </w:lvl>
  </w:abstractNum>
  <w:abstractNum w:abstractNumId="84">
    <w:nsid w:val="49DA307D"/>
    <w:multiLevelType w:val="hybridMultilevel"/>
    <w:lvl w:ilvl="0">
      <w:lvlJc w:val="left"/>
      <w:lvlText w:val="(%1)"/>
      <w:numFmt w:val="lowerLetter"/>
      <w:start w:val="61"/>
    </w:lvl>
    <w:lvl w:ilvl="1">
      <w:lvlJc w:val="left"/>
      <w:lvlText w:val="%2"/>
      <w:numFmt w:val="lowerLetter"/>
      <w:start w:val="1"/>
    </w:lvl>
  </w:abstractNum>
  <w:abstractNum w:abstractNumId="85">
    <w:nsid w:val="7055A5F5"/>
    <w:multiLevelType w:val="hybridMultilevel"/>
    <w:lvl w:ilvl="0">
      <w:lvlJc w:val="left"/>
      <w:lvlText w:val="(%1)"/>
      <w:numFmt w:val="lowerLetter"/>
      <w:start w:val="4"/>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2"/>
      <w:numFmt w:val="bullet"/>
      <w:start w:val="1"/>
    </w:lvl>
  </w:abstractNum>
  <w:abstractNum w:abstractNumId="88">
    <w:nsid w:val="488AC1A"/>
    <w:multiLevelType w:val="hybridMultilevel"/>
    <w:lvl w:ilvl="0">
      <w:lvlJc w:val="left"/>
      <w:lvlText w:val="%1."/>
      <w:numFmt w:val="decimal"/>
      <w:start w:val="1"/>
    </w:lvl>
  </w:abstractNum>
  <w:abstractNum w:abstractNumId="89">
    <w:nsid w:val="5FB8011C"/>
    <w:multiLevelType w:val="hybridMultilevel"/>
    <w:lvl w:ilvl="0">
      <w:lvlJc w:val="left"/>
      <w:lvlText w:val="%1."/>
      <w:numFmt w:val="decimal"/>
      <w:start w:val="4"/>
    </w:lvl>
  </w:abstractNum>
  <w:abstractNum w:abstractNumId="90">
    <w:nsid w:val="6AA78F7F"/>
    <w:multiLevelType w:val="hybridMultilevel"/>
    <w:lvl w:ilvl="0">
      <w:lvlJc w:val="left"/>
      <w:lvlText w:val="%1."/>
      <w:numFmt w:val="decimal"/>
      <w:start w:val="5"/>
    </w:lvl>
  </w:abstractNum>
  <w:abstractNum w:abstractNumId="91">
    <w:nsid w:val="7672BD23"/>
    <w:multiLevelType w:val="hybridMultilevel"/>
    <w:lvl w:ilvl="0">
      <w:lvlJc w:val="left"/>
      <w:lvlText w:val="%1."/>
      <w:numFmt w:val="decimal"/>
      <w:start w:val="1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3"/>
      <w:numFmt w:val="bullet"/>
      <w:start w:val="1"/>
    </w:lvl>
  </w:abstractNum>
  <w:abstractNum w:abstractNumId="95">
    <w:nsid w:val="5F3534A4"/>
    <w:multiLevelType w:val="hybridMultilevel"/>
    <w:lvl w:ilvl="0">
      <w:lvlJc w:val="left"/>
      <w:lvlText w:val="4"/>
      <w:numFmt w:val="bullet"/>
      <w:start w:val="1"/>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2"/>
    </w:lvl>
  </w:abstractNum>
  <w:abstractNum w:abstractNumId="98">
    <w:nsid w:val="555C55B5"/>
    <w:multiLevelType w:val="hybridMultilevel"/>
    <w:lvl w:ilvl="0">
      <w:lvlJc w:val="left"/>
      <w:lvlText w:val="5"/>
      <w:numFmt w:val="bullet"/>
      <w:start w:val="1"/>
    </w:lvl>
  </w:abstractNum>
  <w:abstractNum w:abstractNumId="99">
    <w:nsid w:val="3FA62ACA"/>
    <w:multiLevelType w:val="hybridMultilevel"/>
    <w:lvl w:ilvl="0">
      <w:lvlJc w:val="left"/>
      <w:lvlText w:val="6"/>
      <w:numFmt w:val="bullet"/>
      <w:start w:val="1"/>
    </w:lvl>
  </w:abstractNum>
  <w:abstractNum w:abstractNumId="100">
    <w:nsid w:val="14FCE74E"/>
    <w:multiLevelType w:val="hybridMultilevel"/>
    <w:lvl w:ilvl="0">
      <w:lvlJc w:val="left"/>
      <w:lvlText w:val="7"/>
      <w:numFmt w:val="bullet"/>
      <w:start w:val="1"/>
    </w:lvl>
  </w:abstractNum>
  <w:abstractNum w:abstractNumId="101">
    <w:nsid w:val="6A3DD3E8"/>
    <w:multiLevelType w:val="hybridMultilevel"/>
    <w:lvl w:ilvl="0">
      <w:lvlJc w:val="left"/>
      <w:lvlText w:val="%1."/>
      <w:numFmt w:val="upperLetter"/>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decimal"/>
      <w:start w:val="3"/>
    </w:lvl>
    <w:lvl w:ilvl="1">
      <w:lvlJc w:val="left"/>
      <w:lvlText w:val="%2."/>
      <w:numFmt w:val="decimal"/>
      <w:start w:val="1"/>
    </w:lvl>
  </w:abstractNum>
  <w:abstractNum w:abstractNumId="104">
    <w:nsid w:val="53299938"/>
    <w:multiLevelType w:val="hybridMultilevel"/>
    <w:lvl w:ilvl="0">
      <w:lvlJc w:val="left"/>
      <w:lvlText w:val="8"/>
      <w:numFmt w:val="bullet"/>
      <w:start w:val="1"/>
    </w:lvl>
  </w:abstractNum>
  <w:abstractNum w:abstractNumId="105">
    <w:nsid w:val="1FBFE8E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2024-11-08T07:58:26Z</dcterms:created>
  <dcterms:modified xsi:type="dcterms:W3CDTF">2024-11-08T07:58:26Z</dcterms:modified>
</cp:coreProperties>
</file>