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28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Bitterman Kevin</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Disc Medicine,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IRON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07/30/2025</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DISC MEDICINE, INC.</w:t>
            </w:r>
          </w:p>
        </w:tc>
        <w:tc>
          <w:tcPr>
            <w:tcW w:w="140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286"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2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07/30/2025</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8,492</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61.04</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625,477</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420,549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51,000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 dated January 31, 2025.</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$60.95 to $61.35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Ommer Chohan, Attorney-  </w:t>
      </w:r>
      <w:r>
        <w:rPr>
          <w:rFonts w:ascii="Times New Roman" w:cs="Times New Roman" w:eastAsia="Times New Roman" w:hAnsi="Times New Roman"/>
          <w:sz w:val="33"/>
          <w:szCs w:val="33"/>
          <w:color w:val="0000FF"/>
          <w:vertAlign w:val="subscript"/>
        </w:rPr>
        <w:t>08/01/2025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1747"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2025-08-01T15:38:45Z</dcterms:created>
  <dcterms:modified xsi:type="dcterms:W3CDTF">2025-08-01T15:38:45Z</dcterms:modified>
</cp:coreProperties>
</file>