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Savage William Jacob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DISC MEDICINE,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 ARSENAL STREET,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Disc Medicine, Inc.</w:t>
              </w:r>
            </w:hyperlink>
            <w:r>
              <w:rPr/>
              <w:t xml:space="preserve"> [ </w:t>
            </w:r>
            <w:r>
              <w:rPr>
                <w:rFonts w:ascii="Times;serif" w:hAnsi="Times;serif"/>
                <w:color w:val="0000FF"/>
                <w:sz w:val="24"/>
                <w:shd w:fill="FFFFFF" w:val="clear"/>
              </w:rPr>
              <w:t>IRON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11/25/2024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11/25/2024</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5,263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9.86</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45,668</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11/25/2024</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8,920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13.5</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54,588</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11/25/2024</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8,737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64.9761</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45,851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11/25/2024</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3,542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65.787</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42,309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11/25/2024</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1,904</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67.0235</w:t>
            </w:r>
            <w:r>
              <w:rPr>
                <w:rFonts w:ascii="Times;serif" w:hAnsi="Times;serif"/>
                <w:color w:val="008000"/>
                <w:position w:val="7"/>
                <w:sz w:val="16"/>
                <w:sz w:val="20"/>
                <w:shd w:fill="FFFFFF" w:val="clear"/>
              </w:rPr>
              <w:t>(4)</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40,405</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9.86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5,263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09/13/2031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5,263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5,258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11/25/2024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8,920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12/28/2032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8,920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by the Reporting Person were effected pursuant to a Rule 10b5-1 trading plan adopted on July 18,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$64.44 to $65.43,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and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$65.44 to $66.41,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$66.44 to $67.32,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underlying this option vest in 48 equal monthly installments following July 1, 2021, subject to the Reporting Person's continued service on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underlying this option vest in 48 equal monthly installments following December 29, 2022, subject to the Reporting Person's continued service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Rahul Khara,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51852" TargetMode="External"/><Relationship Id="rId5" Type="http://schemas.openxmlformats.org/officeDocument/2006/relationships/hyperlink" Target="http://www.sec.gov/cgi-bin/browse-edgar?action=getcompany&amp;CIK=00018167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849</Words>
  <Characters>4524</Characters>
  <CharactersWithSpaces>5268</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