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07124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10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January 10, 2022.</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January 7, 2022, the last reported sale price of our common stock on the NASDAQ Global Market was $2.55.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Investment in our common stock involves risks. See “Risk Factors” beginning on page 10 of the Prospectus.</w:t>
      </w:r>
    </w:p>
    <w:p>
      <w:pPr>
        <w:spacing w:after="0" w:line="227"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10, 2022.</w:t>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0"/>
          <w:szCs w:val="20"/>
          <w:color w:val="auto"/>
        </w:rPr>
      </w:pPr>
    </w:p>
    <w:p>
      <w:pPr>
        <w:sectPr>
          <w:pgSz w:w="11900" w:h="16838" w:orient="portrait"/>
          <w:cols w:equalWidth="0" w:num="3">
            <w:col w:w="4504" w:space="720"/>
            <w:col w:w="2880" w:space="720"/>
            <w:col w:w="2200"/>
          </w:cols>
          <w:pgMar w:left="436" w:top="409"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0"/>
          <w:szCs w:val="20"/>
          <w:color w:val="auto"/>
        </w:rPr>
      </w:pPr>
    </w:p>
    <w:p>
      <w:pPr>
        <w:sectPr>
          <w:pgSz w:w="11900" w:h="16838" w:orient="portrait"/>
          <w:cols w:equalWidth="0" w:num="3">
            <w:col w:w="4484" w:space="720"/>
            <w:col w:w="2760" w:space="720"/>
            <w:col w:w="2340"/>
          </w:cols>
          <w:pgMar w:left="436" w:top="409" w:right="439" w:bottom="1440" w:gutter="0" w:footer="0" w:header="0"/>
          <w:type w:val="continuous"/>
        </w:sectPr>
      </w:pPr>
    </w:p>
    <w:p>
      <w:pPr>
        <w:ind w:left="1824"/>
        <w:spacing w:after="0"/>
        <w:rPr>
          <w:sz w:val="20"/>
          <w:szCs w:val="20"/>
          <w:color w:val="auto"/>
        </w:rPr>
      </w:pPr>
      <w:r>
        <w:rPr>
          <w:rFonts w:ascii="Arial" w:cs="Arial" w:eastAsia="Arial" w:hAnsi="Arial"/>
          <w:sz w:val="16"/>
          <w:szCs w:val="16"/>
          <w:b w:val="1"/>
          <w:bCs w:val="1"/>
          <w:color w:val="auto"/>
        </w:rPr>
        <w:t>Address Not Applicable</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Address Not Applicable</w:t>
      </w:r>
      <w:r>
        <w:rPr>
          <w:rFonts w:ascii="Arial" w:cs="Arial" w:eastAsia="Arial" w:hAnsi="Arial"/>
          <w:sz w:val="13"/>
          <w:szCs w:val="13"/>
          <w:b w:val="1"/>
          <w:bCs w:val="1"/>
          <w:color w:val="auto"/>
        </w:rPr>
        <w:t>1</w:t>
      </w:r>
    </w:p>
    <w:p>
      <w:pPr>
        <w:spacing w:after="0" w:line="50" w:lineRule="exact"/>
        <w:rPr>
          <w:sz w:val="20"/>
          <w:szCs w:val="20"/>
          <w:color w:val="auto"/>
        </w:rPr>
      </w:pPr>
    </w:p>
    <w:p>
      <w:pPr>
        <w:sectPr>
          <w:pgSz w:w="11900" w:h="16838" w:orient="portrait"/>
          <w:cols w:equalWidth="0" w:num="2">
            <w:col w:w="6664" w:space="720"/>
            <w:col w:w="3640"/>
          </w:cols>
          <w:pgMar w:left="436" w:top="409"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0"/>
          <w:szCs w:val="20"/>
          <w:color w:val="auto"/>
        </w:rPr>
      </w:pPr>
    </w:p>
    <w:p>
      <w:pPr>
        <w:sectPr>
          <w:pgSz w:w="11900" w:h="16838" w:orient="portrait"/>
          <w:cols w:equalWidth="0" w:num="2">
            <w:col w:w="7284" w:space="720"/>
            <w:col w:w="3020"/>
          </w:cols>
          <w:pgMar w:left="436" w:top="40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300 One Kendall Square, 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Floor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940" w:firstLine="428"/>
        <w:spacing w:after="0" w:line="417" w:lineRule="auto"/>
        <w:tabs>
          <w:tab w:leader="none" w:pos="97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0"/>
          <w:szCs w:val="20"/>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4"/>
          <w:szCs w:val="14"/>
          <w:color w:val="auto"/>
        </w:rPr>
      </w:pPr>
      <w:r>
        <w:rPr>
          <w:rFonts w:ascii="Arial" w:cs="Arial" w:eastAsia="Arial" w:hAnsi="Arial"/>
          <w:sz w:val="17"/>
          <w:szCs w:val="17"/>
          <w:color w:val="auto"/>
        </w:rPr>
        <w:t>In January 2022, the Company became a remote-first company. Accordingly, the Company does not currently maintain a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January 10, 2022, the Company issued a press release entitled “Gemini Therapeutics Provides GEM103 Program Update.”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10, 2022, Gemini Therapeutics, Inc. (the “Company”) announced that the Company will discontinue both of its ongoing Phase 2a clinical trials, the ReGAtta study and the GEM103 as an Add-On to Anti-VEGF Therapy for the Treatment of Wet-AMD study, as both studies have achieved their intended purpose of evaluating GEM103’s safety and tolerability, and have also provided data indicating that GEM103 had biological activity and sustained supraphysiologic pharmacokinetics levels at both monthly and every-other-month doses. The Company is actively evaluating next steps with GEM103’s continued clinical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Phase 2a ReGAtta Study Update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Ongoing analysis of the 62 patients enrolled in the ReGAtta study continues to show that more than nine months of GEM103 exposure has been generally well-tolerated, able to durably reduce biomarkers of complement activation, and able to maintain supraphysiological levels of Complement Factor H (CFH). ReGAtta, an open-label, non-controlled study, was designed to evaluate GEM103’s safety and pharmacokinetics over multiple intravitreal injections.</w:t>
      </w:r>
    </w:p>
    <w:p>
      <w:pPr>
        <w:sectPr>
          <w:pgSz w:w="11900" w:h="16838" w:orient="portrait"/>
          <w:cols w:equalWidth="0" w:num="1">
            <w:col w:w="10900"/>
          </w:cols>
          <w:pgMar w:left="440" w:top="270"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GEM103 Phase 2a as an Add-On to Anti-VEGF Therapy for the Treatment of Wet AMD Study Update</w:t>
      </w:r>
    </w:p>
    <w:p>
      <w:pPr>
        <w:spacing w:after="0" w:line="121"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In December 2021, the Company received six-month data for the 50 patients enrolled in the wet AMD study. This study was designed to investigate the safety and tolerability of GEM103 as an adjunct to standard of care aflibercept therapy, with patients randomized 2:1 between a GEM103 plus aflibercept arm and a sham comparator plus aflibercept arm. Interim analysis showed that intravitreal GEM103 plus aflibercept was generally well-tolerated, and the safety profile was generally consistent with the sham plus aflibercept arm. Patients in this study were dosed every other month concurrently with aflibercept. CFH levels remained supraphysiologic and greater than five times above baseline at the trough timepoints throughout the six months.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GEM103 Study Plans</w:t>
      </w:r>
    </w:p>
    <w:p>
      <w:pPr>
        <w:spacing w:after="0" w:line="121"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Having achieved the ReGAtta study’s primary goal of assessing GEM103’s safety and tolerability, as well as the primary goal of assessing GEM103’s safety and tolerability as an add-on to aflibercept for the treatment of wet AMD, the Company will end both of these ongoing Phase 2a studies with patients returning for a final safety visit.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the success, cost, timing and status of our product development activities and clinical trials, the timing of anticipated announcements of updates with respect to our product candidates and the timing to commence any potential future clinical trials, the potential attributes and benefits of our product candidates, including GEM103, the reliability of the interim or final results of studies relating to safety and possible adverse effects, including serious adverse events, resulting from the administration of our product candidates, our ability to obtain and maintain regulatory approval for our product candidates.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32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3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6320" w:type="dxa"/>
            <w:vAlign w:val="bottom"/>
            <w:gridSpan w:val="3"/>
          </w:tcPr>
          <w:p>
            <w:pPr>
              <w:ind w:left="540"/>
              <w:spacing w:after="0"/>
              <w:rPr>
                <w:sz w:val="20"/>
                <w:szCs w:val="20"/>
                <w:color w:val="auto"/>
              </w:rPr>
            </w:pPr>
            <w:r>
              <w:rPr>
                <w:rFonts w:ascii="Arial" w:cs="Arial" w:eastAsia="Arial" w:hAnsi="Arial"/>
                <w:sz w:val="18"/>
                <w:szCs w:val="18"/>
                <w:color w:val="auto"/>
              </w:rPr>
              <w:t>Press Release by Gemini Therapeutics, Inc., dated January 10, 2022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320" w:type="dxa"/>
            <w:vAlign w:val="bottom"/>
            <w:gridSpan w:val="3"/>
          </w:tcPr>
          <w:p>
            <w:pPr>
              <w:ind w:left="54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2022</w:t>
      </w:r>
    </w:p>
    <w:p>
      <w:pPr>
        <w:sectPr>
          <w:pgSz w:w="11900" w:h="16838" w:orient="portrait"/>
          <w:cols w:equalWidth="0" w:num="1">
            <w:col w:w="10260"/>
          </w:cols>
          <w:pgMar w:left="440" w:top="378"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171450</wp:posOffset>
            </wp:positionV>
            <wp:extent cx="1071245" cy="737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Provides GEM103 Program Update</w:t>
      </w:r>
    </w:p>
    <w:p>
      <w:pPr>
        <w:spacing w:after="0" w:line="225"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CAMBRIDGE, Mass. – January 10, 2022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genetically-defined age-related macular degeneration (AMD), today announced updates from its ongoing phase 2a clinical studies of GEM103 and strategic evaluation of GEM103’s clinical development program.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Phase 2a ReGAtta Study Update</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Ongoing analysis of the 62 patients enrolled in the ReGAtta study continues to show that more than nine months of GEM103 exposure has been generally well-tolerated, able to durably reduce biomarkers of complement activation, and able to maintain supraphysiological levels of Complement Factor H (CFH). ReGAtta, an open-label, non-controlled study, was designed to evaluate GEM103’s safety and pharmacokinetics (PK) over multiple intravitreal injections.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Phase 2a as an Add-On to Anti-VEGF Therapy for the Treatment of Wet AMD Study Update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2021, the Company received six-month data for the 50 patients enrolled in the wet AMD study. This study was designed to investigate the safety and tolerability of GEM103 as an adjunct to standard of care aflibercept therapy, with patients randomized 2:1 between a GEM103 plus aflibercept arm and a sham comparator plus aflibercept arm. Interim analysis showed that intravitreal GEM103 plus aflibercept was generally well-tolerated, and the safety profile was generally consistent with the sham plus aflibercept arm. Patients in this study were dosed every other month concurrently with aflibercept. CFH levels remained supraphysiologic and greater than five times above baseline at the trough timepoints throughout the six months.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Study Plans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Having achieved the ReGAtta study’s primary goal of assessing GEM103’s safety and tolerability, as well as the primary goal of assessing GEM103’s safety and tolerability as an add-on to aflibercept for the treatment of wet AMD, the Company will end both of these ongoing Phase 2a studies with patients returning for a final safety visit.</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ReGAtta and wet AMD clinical studies have achieved their intended purpose of evaluating GEM103’s safety and tolerability, and have also provided data indicating that GEM103 had biological activity and sustained supraphysiologic PK levels at both monthly and every-other-month doses,” stated Jason Meyenburg, Gemini’s Chief Executive Officer. “We want to express our gratitude to the patients who participated in these studies as well as the investigators and site staff conducting the studies. We are actively evaluating next steps with GEM103’s continued clinical development and intend to provide an update by the end of the first quarter 2022.”</w:t>
      </w:r>
    </w:p>
    <w:p>
      <w:pPr>
        <w:sectPr>
          <w:pgSz w:w="11900" w:h="16838" w:orient="portrait"/>
          <w:cols w:equalWidth="0" w:num="1">
            <w:col w:w="11020"/>
          </w:cols>
          <w:pgMar w:left="440" w:top="270" w:right="439" w:bottom="1440" w:gutter="0" w:footer="0" w:header="0"/>
        </w:sectPr>
      </w:pPr>
    </w:p>
    <w:bookmarkStart w:id="6" w:name="page7"/>
    <w:bookmarkEnd w:id="6"/>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8312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has been evaluated in a Phase 2a trial in dry AMD patients with a CFH risk variant and a Phase 1/2a study in patients with neovascular age-related macular degeneration with or at risk for macular atrophy. Gemini is also working to advance a potentiating antibody for CFH, GEM307, towards clinical development for treatment of systemic diseases. 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Investors and others should note that we communicate with our investors and the public using our website (</w:t>
      </w:r>
      <w:r>
        <w:rPr>
          <w:rFonts w:ascii="Arial" w:cs="Arial" w:eastAsia="Arial" w:hAnsi="Arial"/>
          <w:sz w:val="17"/>
          <w:szCs w:val="17"/>
          <w:u w:val="single" w:color="auto"/>
          <w:color w:val="auto"/>
        </w:rPr>
        <w:t>www.geminitherapeutics.com</w:t>
      </w:r>
      <w:r>
        <w:rPr>
          <w:rFonts w:ascii="Arial" w:cs="Arial" w:eastAsia="Arial" w:hAnsi="Arial"/>
          <w:sz w:val="17"/>
          <w:szCs w:val="17"/>
          <w:color w:val="auto"/>
        </w:rPr>
        <w:t>), the investor relations website (</w:t>
      </w:r>
      <w:r>
        <w:rPr>
          <w:rFonts w:ascii="Arial" w:cs="Arial" w:eastAsia="Arial" w:hAnsi="Arial"/>
          <w:sz w:val="17"/>
          <w:szCs w:val="17"/>
          <w:u w:val="single" w:color="auto"/>
          <w:color w:val="auto"/>
        </w:rPr>
        <w:t>https://investors.geminitherapeutics.com</w:t>
      </w:r>
      <w:r>
        <w:rPr>
          <w:rFonts w:ascii="Arial" w:cs="Arial" w:eastAsia="Arial" w:hAnsi="Arial"/>
          <w:sz w:val="17"/>
          <w:szCs w:val="17"/>
          <w:color w:val="auto"/>
        </w:rPr>
        <w:t>/), and on social media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the success, cost, timing and status of our product development activities and clinical trials, the timing of anticipated announcements of updates with respect to our product candidates and the timing to commence any potential future clinical trials, the potential attributes and benefits of our product candidates, including GEM103, the reliability of the interim or final results of studies relating to safety and possible adverse effects, including serious adverse events, resulting from the administration of our product candidates, our ability to obtain and maintain regulatory approval for our product candidates.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w:t>
      </w:r>
    </w:p>
    <w:p>
      <w:pPr>
        <w:sectPr>
          <w:pgSz w:w="11900" w:h="16838" w:orient="portrait"/>
          <w:cols w:equalWidth="0" w:num="1">
            <w:col w:w="11020"/>
          </w:cols>
          <w:pgMar w:left="440" w:top="1440" w:right="439" w:bottom="1440" w:gutter="0" w:footer="0" w:header="0"/>
        </w:sectPr>
      </w:pPr>
    </w:p>
    <w:bookmarkStart w:id="7" w:name="page8"/>
    <w:bookmarkEnd w:id="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831215"/>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7"/>
          <w:szCs w:val="17"/>
          <w:i w:val="1"/>
          <w:iCs w:val="1"/>
          <w:color w:val="auto"/>
        </w:rPr>
        <w:t>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2022-01-10T07:13:03Z</dcterms:created>
  <dcterms:modified xsi:type="dcterms:W3CDTF">2022-01-10T07:13:03Z</dcterms:modified>
</cp:coreProperties>
</file>