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Savage William Jacob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Disc Medicine, Inc.</w:t>
              </w:r>
            </w:hyperlink>
            <w:r>
              <w:rPr/>
              <w:t xml:space="preserve"> [ </w:t>
            </w:r>
            <w:r>
              <w:rPr>
                <w:rFonts w:ascii="Times;serif" w:hAnsi="Times;serif"/>
                <w:color w:val="0000FF"/>
                <w:sz w:val="24"/>
                <w:shd w:fill="FFFFFF" w:val="clear"/>
              </w:rPr>
              <w:t>IRON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66.1209</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81,680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66.8073</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79,480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a Rule 10b5-1 trading plan adopted on October 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$65.50 to $66.39,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$66.57 to $67.00,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Rahul Khara,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51852" TargetMode="External"/><Relationship Id="rId5" Type="http://schemas.openxmlformats.org/officeDocument/2006/relationships/hyperlink" Target="http://www.sec.gov/cgi-bin/browse-edgar?action=getcompany&amp;CIK=0001816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703</Words>
  <Characters>3772</Characters>
  <CharactersWithSpaces>4407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