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Gemini Therapeutics, Inc.</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297 Boston Post Road #248</w:t>
      </w:r>
    </w:p>
    <w:p>
      <w:pPr>
        <w:spacing w:after="0"/>
        <w:rPr>
          <w:sz w:val="20"/>
          <w:szCs w:val="20"/>
          <w:color w:val="auto"/>
        </w:rPr>
      </w:pPr>
      <w:r>
        <w:rPr>
          <w:rFonts w:ascii="Times New Roman" w:cs="Times New Roman" w:eastAsia="Times New Roman" w:hAnsi="Times New Roman"/>
          <w:sz w:val="22"/>
          <w:szCs w:val="22"/>
          <w:color w:val="auto"/>
        </w:rPr>
        <w:t>Wayland, MA 01778</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December 1, 2022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020"/>
          </w:cols>
          <w:pgMar w:left="320" w:top="463" w:right="559" w:bottom="1440" w:gutter="0" w:footer="0" w:header="0"/>
        </w:sectPr>
      </w:pP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Jessica Ansart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Abby Adams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Tara Harkins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Cascio</w:t>
      </w:r>
    </w:p>
    <w:p>
      <w:pPr>
        <w:spacing w:after="0" w:line="200" w:lineRule="exact"/>
        <w:rPr>
          <w:sz w:val="24"/>
          <w:szCs w:val="24"/>
          <w:color w:val="auto"/>
        </w:rPr>
      </w:pPr>
    </w:p>
    <w:p>
      <w:pPr>
        <w:sectPr>
          <w:pgSz w:w="11900" w:h="16838" w:orient="portrait"/>
          <w:cols w:equalWidth="0" w:num="2">
            <w:col w:w="740" w:space="400"/>
            <w:col w:w="9880"/>
          </w:cols>
          <w:pgMar w:left="320" w:top="463" w:right="559" w:bottom="1440" w:gutter="0" w:footer="0" w:header="0"/>
          <w:type w:val="continuous"/>
        </w:sectPr>
      </w:pPr>
    </w:p>
    <w:p>
      <w:pPr>
        <w:spacing w:after="0" w:line="34" w:lineRule="exact"/>
        <w:rPr>
          <w:sz w:val="24"/>
          <w:szCs w:val="24"/>
          <w:color w:val="auto"/>
        </w:rPr>
      </w:pPr>
    </w:p>
    <w:p>
      <w:pPr>
        <w:ind w:left="220"/>
        <w:spacing w:after="0"/>
        <w:tabs>
          <w:tab w:leader="none" w:pos="660" w:val="left"/>
        </w:tabs>
        <w:rPr>
          <w:sz w:val="20"/>
          <w:szCs w:val="20"/>
          <w:color w:val="auto"/>
        </w:rPr>
      </w:pPr>
      <w:r>
        <w:rPr>
          <w:rFonts w:ascii="Times New Roman" w:cs="Times New Roman" w:eastAsia="Times New Roman" w:hAnsi="Times New Roman"/>
          <w:sz w:val="18"/>
          <w:szCs w:val="18"/>
          <w:color w:val="auto"/>
        </w:rPr>
        <w:t>Re:</w:t>
        <w:tab/>
        <w:t>Gemini Therapeutics, Inc.</w:t>
      </w:r>
    </w:p>
    <w:p>
      <w:pPr>
        <w:spacing w:after="0" w:line="2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Registration Statement on Form S-4</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File No. 333-267276</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Request for Acceleration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Pursuant to Rule 461 promulgated under the Securities Act of 1933, as amended, Gemini Therapeutics, Inc. (the “Registrant”) hereby requests acceleration of the effective date of its Registration Statement on Form S-4 (File No. 333-267276), as amended (the “Registration Statement”), so that it may become effective at 4:00 p.m. Eastern time on December 2, 2022, or as soon thereafter as practicable.</w:t>
      </w:r>
    </w:p>
    <w:p>
      <w:pPr>
        <w:spacing w:after="0" w:line="216"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Georges Gemayel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4"/>
          <w:szCs w:val="24"/>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Georges Gemayel</w:t>
      </w:r>
    </w:p>
    <w:p>
      <w:pPr>
        <w:spacing w:after="0" w:line="27" w:lineRule="exact"/>
        <w:rPr>
          <w:sz w:val="24"/>
          <w:szCs w:val="24"/>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463"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2023-01-09T00:14:27Z</dcterms:created>
  <dcterms:modified xsi:type="dcterms:W3CDTF">2023-01-09T00:14:27Z</dcterms:modified>
</cp:coreProperties>
</file>