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(Amendment No. _____2__)*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James Silverman, 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12/31/2021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8"/>
        <w:spacing w:after="0" w:line="277" w:lineRule="auto"/>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36870G105</w:t>
            </w:r>
          </w:p>
        </w:tc>
        <w:tc>
          <w:tcPr>
            <w:tcW w:w="2200" w:type="dxa"/>
            <w:vAlign w:val="bottom"/>
          </w:tcPr>
          <w:p>
            <w:pPr>
              <w:ind w:left="1880"/>
              <w:spacing w:after="0"/>
              <w:rPr>
                <w:sz w:val="20"/>
                <w:szCs w:val="20"/>
                <w:color w:val="auto"/>
              </w:rPr>
            </w:pPr>
            <w:r>
              <w:rPr>
                <w:rFonts w:ascii="Arial" w:cs="Arial" w:eastAsia="Arial" w:hAnsi="Arial"/>
                <w:sz w:val="18"/>
                <w:szCs w:val="18"/>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09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09" w:lineRule="exact"/>
        <w:rPr>
          <w:sz w:val="20"/>
          <w:szCs w:val="20"/>
          <w:color w:val="auto"/>
        </w:rPr>
      </w:pPr>
    </w:p>
    <w:p>
      <w:pPr>
        <w:ind w:left="680" w:right="5780" w:hanging="416"/>
        <w:spacing w:after="0" w:line="3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Opaleye Management Inc.</w:t>
      </w:r>
    </w:p>
    <w:p>
      <w:pPr>
        <w:spacing w:after="0" w:line="12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20-5648796</w:t>
      </w:r>
    </w:p>
    <w:p>
      <w:pPr>
        <w:spacing w:after="0" w:line="237" w:lineRule="exact"/>
        <w:rPr>
          <w:rFonts w:ascii="Arial" w:cs="Arial" w:eastAsia="Arial" w:hAnsi="Arial"/>
          <w:sz w:val="16"/>
          <w:szCs w:val="16"/>
          <w:color w:val="auto"/>
        </w:rPr>
      </w:pPr>
    </w:p>
    <w:p>
      <w:pPr>
        <w:ind w:left="680" w:hanging="41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20" w:hanging="237"/>
        <w:spacing w:after="0" w:line="207" w:lineRule="exact"/>
        <w:tabs>
          <w:tab w:leader="none" w:pos="9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40" w:hanging="257"/>
        <w:spacing w:after="0" w:line="207" w:lineRule="exact"/>
        <w:tabs>
          <w:tab w:leader="none" w:pos="9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680" w:hanging="416"/>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680" w:right="4880" w:hanging="416"/>
        <w:spacing w:after="0" w:line="391"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ind w:left="2000" w:hanging="413"/>
        <w:spacing w:after="0"/>
        <w:tabs>
          <w:tab w:leader="none" w:pos="20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vMerge w:val="continue"/>
          </w:tcPr>
          <w:p>
            <w:pPr>
              <w:spacing w:after="0"/>
              <w:rPr>
                <w:sz w:val="11"/>
                <w:szCs w:val="11"/>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268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SHARES</w:t>
            </w:r>
          </w:p>
        </w:tc>
        <w:tc>
          <w:tcPr>
            <w:tcW w:w="42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268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8"/>
              </w:rPr>
              <w:t>OWNED</w:t>
            </w:r>
          </w:p>
        </w:tc>
        <w:tc>
          <w:tcPr>
            <w:tcW w:w="42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268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BY EACH</w:t>
            </w:r>
          </w:p>
        </w:tc>
        <w:tc>
          <w:tcPr>
            <w:tcW w:w="420" w:type="dxa"/>
            <w:vAlign w:val="bottom"/>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268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50"/>
              <w:spacing w:after="0"/>
              <w:rPr>
                <w:sz w:val="20"/>
                <w:szCs w:val="20"/>
                <w:color w:val="auto"/>
              </w:rPr>
            </w:pPr>
            <w:r>
              <w:rPr>
                <w:rFonts w:ascii="Arial" w:cs="Arial" w:eastAsia="Arial" w:hAnsi="Arial"/>
                <w:sz w:val="18"/>
                <w:szCs w:val="18"/>
                <w:color w:val="auto"/>
                <w:w w:val="94"/>
              </w:rPr>
              <w:t>PERSON WITH</w:t>
            </w:r>
          </w:p>
        </w:tc>
        <w:tc>
          <w:tcPr>
            <w:tcW w:w="42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2680" w:type="dxa"/>
            <w:vAlign w:val="bottom"/>
            <w:vMerge w:val="restart"/>
          </w:tcPr>
          <w:p>
            <w:pPr>
              <w:ind w:left="140"/>
              <w:spacing w:after="0"/>
              <w:rPr>
                <w:sz w:val="20"/>
                <w:szCs w:val="20"/>
                <w:color w:val="auto"/>
              </w:rPr>
            </w:pPr>
            <w:r>
              <w:rPr>
                <w:rFonts w:ascii="Arial" w:cs="Arial" w:eastAsia="Arial" w:hAnsi="Arial"/>
                <w:sz w:val="18"/>
                <w:szCs w:val="18"/>
                <w:color w:val="auto"/>
                <w:w w:val="94"/>
              </w:rPr>
              <w:t>SHARED DISPOSITIVE POWER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80" w:right="1920" w:hanging="460"/>
        <w:spacing w:after="0" w:line="233" w:lineRule="exact"/>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680" w:right="3500" w:hanging="457"/>
        <w:spacing w:after="0" w:line="391"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ind w:left="680" w:hanging="46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6 Pages</w:t>
      </w:r>
    </w:p>
    <w:p>
      <w:pPr>
        <w:sectPr>
          <w:pgSz w:w="11900" w:h="16838" w:orient="portrait"/>
          <w:cols w:equalWidth="0" w:num="2">
            <w:col w:w="9240" w:space="720"/>
            <w:col w:w="1280"/>
          </w:cols>
          <w:pgMar w:left="320" w:top="661"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36870G105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1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32"/>
          <w:szCs w:val="32"/>
          <w:color w:val="auto"/>
          <w:vertAlign w:val="superscript"/>
        </w:rPr>
      </w:pPr>
      <w:r>
        <w:rPr>
          <w:rFonts w:ascii="Arial" w:cs="Arial" w:eastAsia="Arial" w:hAnsi="Arial"/>
          <w:sz w:val="16"/>
          <w:szCs w:val="16"/>
          <w:color w:val="auto"/>
        </w:rPr>
        <w:t xml:space="preserve">Name of Issuer: </w:t>
      </w:r>
      <w:r>
        <w:rPr>
          <w:rFonts w:ascii="Arial" w:cs="Arial" w:eastAsia="Arial" w:hAnsi="Arial"/>
          <w:sz w:val="17"/>
          <w:szCs w:val="17"/>
          <w:color w:val="auto"/>
        </w:rPr>
        <w:t>Gemini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228" w:lineRule="exact"/>
        <w:rPr>
          <w:rFonts w:ascii="Arial" w:cs="Arial" w:eastAsia="Arial" w:hAnsi="Arial"/>
          <w:sz w:val="32"/>
          <w:szCs w:val="32"/>
          <w:color w:val="auto"/>
          <w:vertAlign w:val="superscript"/>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Address of Issuer’s Principal Executive Offices: </w:t>
      </w:r>
      <w:r>
        <w:rPr>
          <w:rFonts w:ascii="Arial" w:cs="Arial" w:eastAsia="Arial" w:hAnsi="Arial"/>
          <w:sz w:val="17"/>
          <w:szCs w:val="17"/>
          <w:color w:val="auto"/>
        </w:rPr>
        <w:t>300 One Kendall Square, 3rd Floor, Cambridge, MA 02139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80" w:hanging="372"/>
        <w:spacing w:after="0" w:line="29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Name of Person Filing: </w:t>
      </w:r>
      <w:r>
        <w:rPr>
          <w:rFonts w:ascii="Arial" w:cs="Arial" w:eastAsia="Arial" w:hAnsi="Arial"/>
          <w:sz w:val="17"/>
          <w:szCs w:val="17"/>
          <w:color w:val="auto"/>
        </w:rPr>
        <w:t>This statement is filed by the entities and persons listed below, who are collectively referred to herein as “</w:t>
      </w:r>
      <w:r>
        <w:rPr>
          <w:rFonts w:ascii="Arial" w:cs="Arial" w:eastAsia="Arial" w:hAnsi="Arial"/>
          <w:sz w:val="17"/>
          <w:szCs w:val="17"/>
          <w:u w:val="single" w:color="auto"/>
          <w:color w:val="auto"/>
        </w:rPr>
        <w:t>Reporting</w:t>
      </w:r>
      <w:r>
        <w:rPr>
          <w:rFonts w:ascii="Arial" w:cs="Arial" w:eastAsia="Arial" w:hAnsi="Arial"/>
          <w:sz w:val="16"/>
          <w:szCs w:val="16"/>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xml:space="preserve"> with respect to the shares of common stock of the Company:</w:t>
      </w:r>
    </w:p>
    <w:p>
      <w:pPr>
        <w:spacing w:after="0" w:line="15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u w:val="single" w:color="auto"/>
          <w:color w:val="auto"/>
        </w:rPr>
        <w:t>Opaleye Fund</w:t>
      </w:r>
    </w:p>
    <w:p>
      <w:pPr>
        <w:spacing w:after="0" w:line="225" w:lineRule="exact"/>
        <w:rPr>
          <w:rFonts w:ascii="Arial" w:cs="Arial" w:eastAsia="Arial" w:hAnsi="Arial"/>
          <w:sz w:val="18"/>
          <w:szCs w:val="18"/>
          <w:color w:val="auto"/>
        </w:rPr>
      </w:pPr>
    </w:p>
    <w:p>
      <w:pPr>
        <w:ind w:left="380" w:right="4820"/>
        <w:spacing w:after="0" w:line="500" w:lineRule="auto"/>
        <w:rPr>
          <w:rFonts w:ascii="Arial" w:cs="Arial" w:eastAsia="Arial" w:hAnsi="Arial"/>
          <w:sz w:val="18"/>
          <w:szCs w:val="18"/>
          <w:color w:val="auto"/>
        </w:rPr>
      </w:pPr>
      <w:r>
        <w:rPr>
          <w:rFonts w:ascii="Arial" w:cs="Arial" w:eastAsia="Arial" w:hAnsi="Arial"/>
          <w:sz w:val="18"/>
          <w:szCs w:val="18"/>
          <w:color w:val="auto"/>
        </w:rPr>
        <w:t>Opaleye, L.P. (the “</w:t>
      </w:r>
      <w:r>
        <w:rPr>
          <w:rFonts w:ascii="Arial" w:cs="Arial" w:eastAsia="Arial" w:hAnsi="Arial"/>
          <w:sz w:val="18"/>
          <w:szCs w:val="18"/>
          <w:u w:val="single" w:color="auto"/>
          <w:color w:val="auto"/>
        </w:rPr>
        <w:t>Opaleye Fund</w:t>
      </w:r>
      <w:r>
        <w:rPr>
          <w:rFonts w:ascii="Arial" w:cs="Arial" w:eastAsia="Arial" w:hAnsi="Arial"/>
          <w:sz w:val="18"/>
          <w:szCs w:val="18"/>
          <w:color w:val="auto"/>
        </w:rPr>
        <w:t xml:space="preserve">”), a private fund formed in the state of Delaware. </w:t>
      </w:r>
      <w:r>
        <w:rPr>
          <w:rFonts w:ascii="Arial" w:cs="Arial" w:eastAsia="Arial" w:hAnsi="Arial"/>
          <w:sz w:val="18"/>
          <w:szCs w:val="18"/>
          <w:u w:val="single" w:color="auto"/>
          <w:color w:val="auto"/>
        </w:rPr>
        <w:t>Investment Manager</w:t>
      </w:r>
    </w:p>
    <w:p>
      <w:pPr>
        <w:spacing w:after="0" w:line="1" w:lineRule="exact"/>
        <w:rPr>
          <w:rFonts w:ascii="Arial" w:cs="Arial" w:eastAsia="Arial" w:hAnsi="Arial"/>
          <w:sz w:val="18"/>
          <w:szCs w:val="18"/>
          <w:color w:val="auto"/>
        </w:rPr>
      </w:pPr>
    </w:p>
    <w:p>
      <w:pPr>
        <w:jc w:val="both"/>
        <w:ind w:left="380"/>
        <w:spacing w:after="0" w:line="259" w:lineRule="auto"/>
        <w:rPr>
          <w:rFonts w:ascii="Arial" w:cs="Arial" w:eastAsia="Arial" w:hAnsi="Arial"/>
          <w:sz w:val="18"/>
          <w:szCs w:val="18"/>
          <w:color w:val="auto"/>
        </w:rPr>
      </w:pPr>
      <w:r>
        <w:rPr>
          <w:rFonts w:ascii="Arial" w:cs="Arial" w:eastAsia="Arial" w:hAnsi="Arial"/>
          <w:sz w:val="18"/>
          <w:szCs w:val="18"/>
          <w:color w:val="auto"/>
        </w:rPr>
        <w:t>Opaleye Management Inc. (the “</w:t>
      </w:r>
      <w:r>
        <w:rPr>
          <w:rFonts w:ascii="Arial" w:cs="Arial" w:eastAsia="Arial" w:hAnsi="Arial"/>
          <w:sz w:val="18"/>
          <w:szCs w:val="18"/>
          <w:u w:val="single" w:color="auto"/>
          <w:color w:val="auto"/>
        </w:rPr>
        <w:t>Investment Manager</w:t>
      </w:r>
      <w:r>
        <w:rPr>
          <w:rFonts w:ascii="Arial" w:cs="Arial" w:eastAsia="Arial" w:hAnsi="Arial"/>
          <w:sz w:val="18"/>
          <w:szCs w:val="18"/>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Arial" w:cs="Arial" w:eastAsia="Arial" w:hAnsi="Arial"/>
          <w:sz w:val="18"/>
          <w:szCs w:val="18"/>
          <w:u w:val="single" w:color="auto"/>
          <w:color w:val="auto"/>
        </w:rPr>
        <w:t>Managed Account</w:t>
      </w:r>
      <w:r>
        <w:rPr>
          <w:rFonts w:ascii="Arial" w:cs="Arial" w:eastAsia="Arial" w:hAnsi="Arial"/>
          <w:sz w:val="18"/>
          <w:szCs w:val="18"/>
          <w:color w:val="auto"/>
        </w:rPr>
        <w:t>”) and may be deemed to indirectly beneficially own securities owned by the Managed Account. The Investment Manager disclaims beneficial ownership of the shares held by the Managed Account.</w:t>
      </w:r>
    </w:p>
    <w:p>
      <w:pPr>
        <w:spacing w:after="0" w:line="18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u w:val="single" w:color="auto"/>
          <w:color w:val="auto"/>
        </w:rPr>
        <w:t>Reporting Individual</w:t>
      </w:r>
    </w:p>
    <w:p>
      <w:pPr>
        <w:spacing w:after="0" w:line="225" w:lineRule="exact"/>
        <w:rPr>
          <w:rFonts w:ascii="Arial" w:cs="Arial" w:eastAsia="Arial" w:hAnsi="Arial"/>
          <w:sz w:val="18"/>
          <w:szCs w:val="18"/>
          <w:color w:val="auto"/>
        </w:rPr>
      </w:pPr>
    </w:p>
    <w:p>
      <w:pPr>
        <w:ind w:left="380"/>
        <w:spacing w:after="0" w:line="277" w:lineRule="auto"/>
        <w:rPr>
          <w:rFonts w:ascii="Arial" w:cs="Arial" w:eastAsia="Arial" w:hAnsi="Arial"/>
          <w:sz w:val="18"/>
          <w:szCs w:val="18"/>
          <w:color w:val="auto"/>
        </w:rPr>
      </w:pPr>
      <w:r>
        <w:rPr>
          <w:rFonts w:ascii="Arial" w:cs="Arial" w:eastAsia="Arial" w:hAnsi="Arial"/>
          <w:sz w:val="18"/>
          <w:szCs w:val="18"/>
          <w:color w:val="auto"/>
        </w:rPr>
        <w:t>Mr. James Silverman (the “</w:t>
      </w:r>
      <w:r>
        <w:rPr>
          <w:rFonts w:ascii="Arial" w:cs="Arial" w:eastAsia="Arial" w:hAnsi="Arial"/>
          <w:sz w:val="18"/>
          <w:szCs w:val="18"/>
          <w:u w:val="single" w:color="auto"/>
          <w:color w:val="auto"/>
        </w:rPr>
        <w:t>Reporting Individual”</w:t>
      </w:r>
      <w:r>
        <w:rPr>
          <w:rFonts w:ascii="Arial" w:cs="Arial" w:eastAsia="Arial" w:hAnsi="Arial"/>
          <w:sz w:val="18"/>
          <w:szCs w:val="18"/>
          <w:color w:val="auto"/>
        </w:rPr>
        <w:t>), with respect to the shares of common stock held by the Opaleye Fund. Mr. Silverman is the President of the Investment Manager.</w:t>
      </w:r>
    </w:p>
    <w:p>
      <w:pPr>
        <w:spacing w:after="0" w:line="170" w:lineRule="exact"/>
        <w:rPr>
          <w:rFonts w:ascii="Arial" w:cs="Arial" w:eastAsia="Arial" w:hAnsi="Arial"/>
          <w:sz w:val="18"/>
          <w:szCs w:val="18"/>
          <w:color w:val="auto"/>
        </w:rPr>
      </w:pPr>
    </w:p>
    <w:p>
      <w:pPr>
        <w:ind w:left="380" w:right="7060" w:hanging="372"/>
        <w:spacing w:after="0" w:line="449"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One Boston Place,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Boston, MA 02108</w:t>
      </w: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Citizenship is set forth in Row 4 of the cover page for each Reporting Person and is incorporated herein by reference for each such Reporting Person.</w:t>
      </w:r>
    </w:p>
    <w:p>
      <w:pPr>
        <w:spacing w:after="0" w:line="248"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Common Stock, $0.001 par value per share</w:t>
      </w:r>
    </w:p>
    <w:p>
      <w:pPr>
        <w:spacing w:after="0" w:line="225" w:lineRule="exact"/>
        <w:rPr>
          <w:rFonts w:ascii="Arial" w:cs="Arial" w:eastAsia="Arial" w:hAnsi="Arial"/>
          <w:sz w:val="18"/>
          <w:szCs w:val="18"/>
          <w:color w:val="auto"/>
        </w:rPr>
      </w:pPr>
    </w:p>
    <w:p>
      <w:pPr>
        <w:ind w:left="380" w:right="9700" w:hanging="372"/>
        <w:spacing w:after="0" w:line="62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16934W106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36870G105</w:t>
            </w:r>
          </w:p>
        </w:tc>
        <w:tc>
          <w:tcPr>
            <w:tcW w:w="3900" w:type="dxa"/>
            <w:vAlign w:val="bottom"/>
          </w:tcPr>
          <w:p>
            <w:pPr>
              <w:ind w:left="40"/>
              <w:spacing w:after="0"/>
              <w:rPr>
                <w:sz w:val="20"/>
                <w:szCs w:val="20"/>
                <w:color w:val="auto"/>
              </w:rPr>
            </w:pPr>
            <w:r>
              <w:rPr>
                <w:rFonts w:ascii="Arial" w:cs="Arial" w:eastAsia="Arial" w:hAnsi="Arial"/>
                <w:sz w:val="18"/>
                <w:szCs w:val="18"/>
                <w:color w:val="auto"/>
              </w:rPr>
              <w:t>13G</w:t>
            </w:r>
          </w:p>
        </w:tc>
        <w:tc>
          <w:tcPr>
            <w:tcW w:w="1900" w:type="dxa"/>
            <w:vAlign w:val="bottom"/>
          </w:tcPr>
          <w:p>
            <w:pPr>
              <w:ind w:left="620"/>
              <w:spacing w:after="0"/>
              <w:rPr>
                <w:sz w:val="20"/>
                <w:szCs w:val="20"/>
                <w:color w:val="auto"/>
              </w:rPr>
            </w:pPr>
            <w:r>
              <w:rPr>
                <w:rFonts w:ascii="Arial" w:cs="Arial" w:eastAsia="Arial" w:hAnsi="Arial"/>
                <w:sz w:val="18"/>
                <w:szCs w:val="18"/>
                <w:color w:val="auto"/>
                <w:w w:val="85"/>
              </w:rPr>
              <w:t>Page 4 of 6 Pages</w:t>
            </w: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8"/>
              </w:rPr>
              <w:t>If this statement is filed pursuant to §§240.13d-1(b) or 240.13d-2(b) or (c), check whether the person filing is a:</w:t>
            </w:r>
          </w:p>
        </w:tc>
        <w:tc>
          <w:tcPr>
            <w:tcW w:w="1900" w:type="dxa"/>
            <w:vAlign w:val="bottom"/>
          </w:tcPr>
          <w:p>
            <w:pPr>
              <w:spacing w:after="0"/>
              <w:rPr>
                <w:sz w:val="24"/>
                <w:szCs w:val="24"/>
                <w:color w:val="auto"/>
              </w:rPr>
            </w:pPr>
          </w:p>
        </w:tc>
      </w:tr>
      <w:tr>
        <w:trPr>
          <w:trHeight w:val="639"/>
        </w:trPr>
        <w:tc>
          <w:tcPr>
            <w:tcW w:w="600" w:type="dxa"/>
            <w:vAlign w:val="bottom"/>
          </w:tcPr>
          <w:p>
            <w:pPr>
              <w:ind w:left="340"/>
              <w:spacing w:after="0"/>
              <w:rPr>
                <w:sz w:val="20"/>
                <w:szCs w:val="20"/>
                <w:color w:val="auto"/>
              </w:rPr>
            </w:pPr>
            <w:r>
              <w:rPr>
                <w:rFonts w:ascii="Arial" w:cs="Arial" w:eastAsia="Arial" w:hAnsi="Arial"/>
                <w:sz w:val="18"/>
                <w:szCs w:val="18"/>
                <w:color w:val="auto"/>
              </w:rPr>
              <w:t>(a)</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Broker or dealer registered under section 15 of the Act (15 U.S.C. 78o).</w:t>
            </w:r>
          </w:p>
        </w:tc>
        <w:tc>
          <w:tcPr>
            <w:tcW w:w="1900" w:type="dxa"/>
            <w:vAlign w:val="bottom"/>
          </w:tcPr>
          <w:p>
            <w:pPr>
              <w:spacing w:after="0"/>
              <w:rPr>
                <w:sz w:val="24"/>
                <w:szCs w:val="24"/>
                <w:color w:val="auto"/>
              </w:rPr>
            </w:pPr>
          </w:p>
        </w:tc>
      </w:tr>
      <w:tr>
        <w:trPr>
          <w:trHeight w:val="528"/>
        </w:trPr>
        <w:tc>
          <w:tcPr>
            <w:tcW w:w="600" w:type="dxa"/>
            <w:vAlign w:val="bottom"/>
          </w:tcPr>
          <w:p>
            <w:pPr>
              <w:ind w:left="340"/>
              <w:spacing w:after="0"/>
              <w:rPr>
                <w:sz w:val="20"/>
                <w:szCs w:val="20"/>
                <w:color w:val="auto"/>
              </w:rPr>
            </w:pPr>
            <w:r>
              <w:rPr>
                <w:rFonts w:ascii="Arial" w:cs="Arial" w:eastAsia="Arial" w:hAnsi="Arial"/>
                <w:sz w:val="18"/>
                <w:szCs w:val="18"/>
                <w:color w:val="auto"/>
              </w:rPr>
              <w:t>(b)</w:t>
            </w:r>
          </w:p>
        </w:tc>
        <w:tc>
          <w:tcPr>
            <w:tcW w:w="4840" w:type="dxa"/>
            <w:vAlign w:val="bottom"/>
          </w:tcPr>
          <w:p>
            <w:pPr>
              <w:ind w:left="60"/>
              <w:spacing w:after="0" w:line="495" w:lineRule="exact"/>
              <w:rPr>
                <w:sz w:val="20"/>
                <w:szCs w:val="20"/>
                <w:color w:val="auto"/>
              </w:rPr>
            </w:pPr>
            <w:r>
              <w:rPr>
                <w:rFonts w:ascii="MS PGothic" w:cs="MS PGothic" w:eastAsia="MS PGothic" w:hAnsi="MS PGothic"/>
                <w:sz w:val="43"/>
                <w:szCs w:val="43"/>
                <w:color w:val="auto"/>
                <w:w w:val="91"/>
                <w:vertAlign w:val="subscript"/>
              </w:rPr>
              <w:t>☐</w:t>
            </w:r>
            <w:r>
              <w:rPr>
                <w:rFonts w:ascii="Arial" w:cs="Arial" w:eastAsia="Arial" w:hAnsi="Arial"/>
                <w:sz w:val="18"/>
                <w:szCs w:val="18"/>
                <w:color w:val="auto"/>
                <w:w w:val="91"/>
              </w:rPr>
              <w:t xml:space="preserve"> Bank as defined in section 3(a)(6) of the Act (15 U.S.C. 78c).</w:t>
            </w:r>
          </w:p>
        </w:tc>
        <w:tc>
          <w:tcPr>
            <w:tcW w:w="39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99"/>
        </w:trPr>
        <w:tc>
          <w:tcPr>
            <w:tcW w:w="600" w:type="dxa"/>
            <w:vAlign w:val="bottom"/>
          </w:tcPr>
          <w:p>
            <w:pPr>
              <w:ind w:left="340"/>
              <w:spacing w:after="0"/>
              <w:rPr>
                <w:sz w:val="20"/>
                <w:szCs w:val="20"/>
                <w:color w:val="auto"/>
              </w:rPr>
            </w:pPr>
            <w:r>
              <w:rPr>
                <w:rFonts w:ascii="Arial" w:cs="Arial" w:eastAsia="Arial" w:hAnsi="Arial"/>
                <w:sz w:val="18"/>
                <w:szCs w:val="18"/>
                <w:color w:val="auto"/>
              </w:rPr>
              <w:t>(c)</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Insurance company as defined in section 3(a)(19) of the Act (15 U.S.C. 78c).</w:t>
            </w:r>
          </w:p>
        </w:tc>
        <w:tc>
          <w:tcPr>
            <w:tcW w:w="1900" w:type="dxa"/>
            <w:vAlign w:val="bottom"/>
          </w:tcPr>
          <w:p>
            <w:pPr>
              <w:spacing w:after="0"/>
              <w:rPr>
                <w:sz w:val="24"/>
                <w:szCs w:val="24"/>
                <w:color w:val="auto"/>
              </w:rPr>
            </w:pPr>
          </w:p>
        </w:tc>
      </w:tr>
      <w:tr>
        <w:trPr>
          <w:trHeight w:val="499"/>
        </w:trPr>
        <w:tc>
          <w:tcPr>
            <w:tcW w:w="600" w:type="dxa"/>
            <w:vAlign w:val="bottom"/>
          </w:tcPr>
          <w:p>
            <w:pPr>
              <w:ind w:left="340"/>
              <w:spacing w:after="0"/>
              <w:rPr>
                <w:sz w:val="20"/>
                <w:szCs w:val="20"/>
                <w:color w:val="auto"/>
              </w:rPr>
            </w:pPr>
            <w:r>
              <w:rPr>
                <w:rFonts w:ascii="Arial" w:cs="Arial" w:eastAsia="Arial" w:hAnsi="Arial"/>
                <w:sz w:val="18"/>
                <w:szCs w:val="18"/>
                <w:color w:val="auto"/>
              </w:rPr>
              <w:t>(d)</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w w:val="97"/>
                <w:vertAlign w:val="subscript"/>
              </w:rPr>
              <w:t>☐</w:t>
            </w:r>
            <w:r>
              <w:rPr>
                <w:rFonts w:ascii="Arial" w:cs="Arial" w:eastAsia="Arial" w:hAnsi="Arial"/>
                <w:sz w:val="18"/>
                <w:szCs w:val="18"/>
                <w:color w:val="auto"/>
                <w:w w:val="97"/>
              </w:rPr>
              <w:t xml:space="preserve"> Investment company registered under section 8 of the Investment Company Act of 1940 (15 U.S.C. 80a-8).</w:t>
            </w:r>
          </w:p>
        </w:tc>
        <w:tc>
          <w:tcPr>
            <w:tcW w:w="1900" w:type="dxa"/>
            <w:vAlign w:val="bottom"/>
          </w:tcPr>
          <w:p>
            <w:pPr>
              <w:spacing w:after="0"/>
              <w:rPr>
                <w:sz w:val="24"/>
                <w:szCs w:val="24"/>
                <w:color w:val="auto"/>
              </w:rPr>
            </w:pPr>
          </w:p>
        </w:tc>
      </w:tr>
      <w:tr>
        <w:trPr>
          <w:trHeight w:val="500"/>
        </w:trPr>
        <w:tc>
          <w:tcPr>
            <w:tcW w:w="600" w:type="dxa"/>
            <w:vAlign w:val="bottom"/>
          </w:tcPr>
          <w:p>
            <w:pPr>
              <w:ind w:left="340"/>
              <w:spacing w:after="0"/>
              <w:rPr>
                <w:sz w:val="20"/>
                <w:szCs w:val="20"/>
                <w:color w:val="auto"/>
              </w:rPr>
            </w:pPr>
            <w:r>
              <w:rPr>
                <w:rFonts w:ascii="Arial" w:cs="Arial" w:eastAsia="Arial" w:hAnsi="Arial"/>
                <w:sz w:val="18"/>
                <w:szCs w:val="18"/>
                <w:color w:val="auto"/>
              </w:rPr>
              <w:t>(e)</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An investment adviser in accordance with §240.13d-1(b)(1)(ii)(E);</w:t>
            </w:r>
          </w:p>
        </w:tc>
        <w:tc>
          <w:tcPr>
            <w:tcW w:w="1900" w:type="dxa"/>
            <w:vAlign w:val="bottom"/>
          </w:tcPr>
          <w:p>
            <w:pPr>
              <w:spacing w:after="0"/>
              <w:rPr>
                <w:sz w:val="24"/>
                <w:szCs w:val="24"/>
                <w:color w:val="auto"/>
              </w:rPr>
            </w:pPr>
          </w:p>
        </w:tc>
      </w:tr>
      <w:tr>
        <w:trPr>
          <w:trHeight w:val="499"/>
        </w:trPr>
        <w:tc>
          <w:tcPr>
            <w:tcW w:w="600" w:type="dxa"/>
            <w:vAlign w:val="bottom"/>
          </w:tcPr>
          <w:p>
            <w:pPr>
              <w:ind w:left="340"/>
              <w:spacing w:after="0"/>
              <w:rPr>
                <w:sz w:val="20"/>
                <w:szCs w:val="20"/>
                <w:color w:val="auto"/>
              </w:rPr>
            </w:pPr>
            <w:r>
              <w:rPr>
                <w:rFonts w:ascii="Arial" w:cs="Arial" w:eastAsia="Arial" w:hAnsi="Arial"/>
                <w:sz w:val="18"/>
                <w:szCs w:val="18"/>
                <w:color w:val="auto"/>
              </w:rPr>
              <w:t>(f)</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An employee benefit plan or endowment fund in accordance with §240.13d-1(b)(1)(ii)(F);</w:t>
            </w:r>
          </w:p>
        </w:tc>
        <w:tc>
          <w:tcPr>
            <w:tcW w:w="1900" w:type="dxa"/>
            <w:vAlign w:val="bottom"/>
          </w:tcPr>
          <w:p>
            <w:pPr>
              <w:spacing w:after="0"/>
              <w:rPr>
                <w:sz w:val="24"/>
                <w:szCs w:val="24"/>
                <w:color w:val="auto"/>
              </w:rPr>
            </w:pPr>
          </w:p>
        </w:tc>
      </w:tr>
      <w:tr>
        <w:trPr>
          <w:trHeight w:val="500"/>
        </w:trPr>
        <w:tc>
          <w:tcPr>
            <w:tcW w:w="600" w:type="dxa"/>
            <w:vAlign w:val="bottom"/>
          </w:tcPr>
          <w:p>
            <w:pPr>
              <w:ind w:left="340"/>
              <w:spacing w:after="0"/>
              <w:rPr>
                <w:sz w:val="20"/>
                <w:szCs w:val="20"/>
                <w:color w:val="auto"/>
              </w:rPr>
            </w:pPr>
            <w:r>
              <w:rPr>
                <w:rFonts w:ascii="Arial" w:cs="Arial" w:eastAsia="Arial" w:hAnsi="Arial"/>
                <w:sz w:val="18"/>
                <w:szCs w:val="18"/>
                <w:color w:val="auto"/>
              </w:rPr>
              <w:t>(g)</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A parent holding company or control person in accordance with §240.13d-1(b)(1)(ii)(G);</w:t>
            </w:r>
          </w:p>
        </w:tc>
        <w:tc>
          <w:tcPr>
            <w:tcW w:w="1900" w:type="dxa"/>
            <w:vAlign w:val="bottom"/>
          </w:tcPr>
          <w:p>
            <w:pPr>
              <w:spacing w:after="0"/>
              <w:rPr>
                <w:sz w:val="24"/>
                <w:szCs w:val="24"/>
                <w:color w:val="auto"/>
              </w:rPr>
            </w:pPr>
          </w:p>
        </w:tc>
      </w:tr>
      <w:tr>
        <w:trPr>
          <w:trHeight w:val="499"/>
        </w:trPr>
        <w:tc>
          <w:tcPr>
            <w:tcW w:w="600" w:type="dxa"/>
            <w:vAlign w:val="bottom"/>
          </w:tcPr>
          <w:p>
            <w:pPr>
              <w:ind w:left="340"/>
              <w:spacing w:after="0"/>
              <w:rPr>
                <w:sz w:val="20"/>
                <w:szCs w:val="20"/>
                <w:color w:val="auto"/>
              </w:rPr>
            </w:pPr>
            <w:r>
              <w:rPr>
                <w:rFonts w:ascii="Arial" w:cs="Arial" w:eastAsia="Arial" w:hAnsi="Arial"/>
                <w:sz w:val="18"/>
                <w:szCs w:val="18"/>
                <w:color w:val="auto"/>
              </w:rPr>
              <w:t>(h)</w:t>
            </w:r>
          </w:p>
        </w:tc>
        <w:tc>
          <w:tcPr>
            <w:tcW w:w="8740" w:type="dxa"/>
            <w:vAlign w:val="bottom"/>
            <w:gridSpan w:val="2"/>
          </w:tcPr>
          <w:p>
            <w:pPr>
              <w:ind w:left="60"/>
              <w:spacing w:after="0" w:line="495" w:lineRule="exact"/>
              <w:rPr>
                <w:sz w:val="20"/>
                <w:szCs w:val="20"/>
                <w:color w:val="auto"/>
              </w:rPr>
            </w:pPr>
            <w:r>
              <w:rPr>
                <w:rFonts w:ascii="MS PGothic" w:cs="MS PGothic" w:eastAsia="MS PGothic" w:hAnsi="MS PGothic"/>
                <w:sz w:val="43"/>
                <w:szCs w:val="43"/>
                <w:color w:val="auto"/>
                <w:w w:val="99"/>
                <w:vertAlign w:val="subscript"/>
              </w:rPr>
              <w:t>☐</w:t>
            </w:r>
            <w:r>
              <w:rPr>
                <w:rFonts w:ascii="Arial" w:cs="Arial" w:eastAsia="Arial" w:hAnsi="Arial"/>
                <w:sz w:val="18"/>
                <w:szCs w:val="18"/>
                <w:color w:val="auto"/>
                <w:w w:val="99"/>
              </w:rPr>
              <w:t xml:space="preserve"> A savings associations as defined in Section 3(b) of the Federal Deposit Insurance Act (12 U.S.C. 1813);</w:t>
            </w:r>
          </w:p>
        </w:tc>
        <w:tc>
          <w:tcPr>
            <w:tcW w:w="1900" w:type="dxa"/>
            <w:vAlign w:val="bottom"/>
          </w:tcPr>
          <w:p>
            <w:pPr>
              <w:spacing w:after="0"/>
              <w:rPr>
                <w:sz w:val="24"/>
                <w:szCs w:val="24"/>
                <w:color w:val="auto"/>
              </w:rPr>
            </w:pPr>
          </w:p>
        </w:tc>
      </w:tr>
      <w:tr>
        <w:trPr>
          <w:trHeight w:val="250"/>
        </w:trPr>
        <w:tc>
          <w:tcPr>
            <w:tcW w:w="600" w:type="dxa"/>
            <w:vAlign w:val="bottom"/>
          </w:tcPr>
          <w:p>
            <w:pPr>
              <w:ind w:left="340"/>
              <w:spacing w:after="0"/>
              <w:rPr>
                <w:sz w:val="20"/>
                <w:szCs w:val="20"/>
                <w:color w:val="auto"/>
              </w:rPr>
            </w:pPr>
            <w:r>
              <w:rPr>
                <w:rFonts w:ascii="Arial" w:cs="Arial" w:eastAsia="Arial" w:hAnsi="Arial"/>
                <w:sz w:val="18"/>
                <w:szCs w:val="18"/>
                <w:color w:val="auto"/>
              </w:rPr>
              <w:t>(i)</w:t>
            </w:r>
          </w:p>
        </w:tc>
        <w:tc>
          <w:tcPr>
            <w:tcW w:w="10640" w:type="dxa"/>
            <w:vAlign w:val="bottom"/>
            <w:gridSpan w:val="3"/>
          </w:tcPr>
          <w:p>
            <w:pPr>
              <w:ind w:left="60"/>
              <w:spacing w:after="0" w:line="251" w:lineRule="exact"/>
              <w:rPr>
                <w:sz w:val="20"/>
                <w:szCs w:val="20"/>
                <w:color w:val="auto"/>
              </w:rPr>
            </w:pPr>
            <w:r>
              <w:rPr>
                <w:rFonts w:ascii="MS PGothic" w:cs="MS PGothic" w:eastAsia="MS PGothic" w:hAnsi="MS PGothic"/>
                <w:sz w:val="29"/>
                <w:szCs w:val="29"/>
                <w:color w:val="auto"/>
                <w:vertAlign w:val="subscript"/>
              </w:rPr>
              <w:t>☐</w:t>
            </w:r>
            <w:r>
              <w:rPr>
                <w:rFonts w:ascii="Arial" w:cs="Arial" w:eastAsia="Arial" w:hAnsi="Arial"/>
                <w:sz w:val="15"/>
                <w:szCs w:val="15"/>
                <w:color w:val="auto"/>
              </w:rPr>
              <w:t xml:space="preserve"> A church plan that is excluded from the definition of an investment company under section 3(c)(14) of the Investment Company Act of 1940</w:t>
            </w:r>
          </w:p>
        </w:tc>
      </w:tr>
      <w:tr>
        <w:trPr>
          <w:trHeight w:val="230"/>
        </w:trPr>
        <w:tc>
          <w:tcPr>
            <w:tcW w:w="600" w:type="dxa"/>
            <w:vAlign w:val="bottom"/>
          </w:tcPr>
          <w:p>
            <w:pPr>
              <w:spacing w:after="0"/>
              <w:rPr>
                <w:sz w:val="20"/>
                <w:szCs w:val="20"/>
                <w:color w:val="auto"/>
              </w:rPr>
            </w:pPr>
          </w:p>
        </w:tc>
        <w:tc>
          <w:tcPr>
            <w:tcW w:w="4840" w:type="dxa"/>
            <w:vAlign w:val="bottom"/>
          </w:tcPr>
          <w:p>
            <w:pPr>
              <w:ind w:left="380"/>
              <w:spacing w:after="0"/>
              <w:rPr>
                <w:sz w:val="20"/>
                <w:szCs w:val="20"/>
                <w:color w:val="auto"/>
              </w:rPr>
            </w:pPr>
            <w:r>
              <w:rPr>
                <w:rFonts w:ascii="Arial" w:cs="Arial" w:eastAsia="Arial" w:hAnsi="Arial"/>
                <w:sz w:val="18"/>
                <w:szCs w:val="18"/>
                <w:color w:val="auto"/>
              </w:rPr>
              <w:t>(15 U.S.C. 80a-3);</w:t>
            </w:r>
          </w:p>
        </w:tc>
        <w:tc>
          <w:tcPr>
            <w:tcW w:w="39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639"/>
        </w:trPr>
        <w:tc>
          <w:tcPr>
            <w:tcW w:w="600" w:type="dxa"/>
            <w:vAlign w:val="bottom"/>
          </w:tcPr>
          <w:p>
            <w:pPr>
              <w:ind w:left="340"/>
              <w:spacing w:after="0"/>
              <w:rPr>
                <w:sz w:val="20"/>
                <w:szCs w:val="20"/>
                <w:color w:val="auto"/>
              </w:rPr>
            </w:pPr>
            <w:r>
              <w:rPr>
                <w:rFonts w:ascii="Arial" w:cs="Arial" w:eastAsia="Arial" w:hAnsi="Arial"/>
                <w:sz w:val="18"/>
                <w:szCs w:val="18"/>
                <w:color w:val="auto"/>
              </w:rPr>
              <w:t>(j)</w:t>
            </w:r>
          </w:p>
        </w:tc>
        <w:tc>
          <w:tcPr>
            <w:tcW w:w="4840" w:type="dxa"/>
            <w:vAlign w:val="bottom"/>
          </w:tcPr>
          <w:p>
            <w:pPr>
              <w:ind w:left="60"/>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 xml:space="preserve"> Group, in accordance with §240.13d-1(b)(1)(ii)(J).</w:t>
            </w:r>
          </w:p>
        </w:tc>
        <w:tc>
          <w:tcPr>
            <w:tcW w:w="39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 For computations regarding securities which represent a right to acquire an underlying security see §240.13d-3(d)(1).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36870G105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certification shall be included if the statement is filed pursuant to §240.13d-1(b): 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effect.After reasonable inquiry and to the best of my knowledge and belief, I certify that the information set forth in this statement is true, complete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tabs>
          <w:tab w:leader="none" w:pos="546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36870G105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01/31/2022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Managing Member of Opaleye GP LLC , the General Partner of 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2022-02-01T05:23:31Z</dcterms:created>
  <dcterms:modified xsi:type="dcterms:W3CDTF">2022-02-01T05:23:31Z</dcterms:modified>
</cp:coreProperties>
</file>