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6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Lauder Scott</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Gemini Therapeutics,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GMTX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60"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GEMINI THERAPEUTICS, INC.</w:t>
      </w:r>
    </w:p>
    <w:p>
      <w:pPr>
        <w:spacing w:after="0" w:line="13" w:lineRule="exact"/>
        <w:rPr>
          <w:sz w:val="24"/>
          <w:szCs w:val="24"/>
          <w:color w:val="auto"/>
        </w:rPr>
      </w:pPr>
    </w:p>
    <w:p>
      <w:pPr>
        <w:ind w:left="140" w:right="1137"/>
        <w:spacing w:after="0" w:line="275" w:lineRule="auto"/>
        <w:rPr>
          <w:sz w:val="20"/>
          <w:szCs w:val="20"/>
          <w:color w:val="auto"/>
        </w:rPr>
      </w:pPr>
      <w:r>
        <w:rPr>
          <w:rFonts w:ascii="Times New Roman" w:cs="Times New Roman" w:eastAsia="Times New Roman" w:hAnsi="Times New Roman"/>
          <w:sz w:val="20"/>
          <w:szCs w:val="20"/>
          <w:color w:val="0000FF"/>
        </w:rPr>
        <w:t>300 ONE KENDALL SQUARE, 3RD FLOOR</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60" w:orient="portrait"/>
          <w:cols w:equalWidth="0" w:num="3">
            <w:col w:w="4277" w:space="720"/>
            <w:col w:w="3003" w:space="269"/>
            <w:col w:w="2671"/>
          </w:cols>
          <w:pgMar w:left="480" w:top="230" w:right="479" w:bottom="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104,622</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08/27/2028</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68,354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1.2846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03/10/2030</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16,347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2.5234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10/15/2030</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21,136</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7.616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-2322195</wp:posOffset>
            </wp:positionV>
            <wp:extent cx="6946900" cy="2172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172970"/>
                    </a:xfrm>
                    <a:prstGeom prst="rect">
                      <a:avLst/>
                    </a:prstGeom>
                    <a:noFill/>
                  </pic:spPr>
                </pic:pic>
              </a:graphicData>
            </a:graphic>
          </wp:anchor>
        </w:drawing>
      </w:r>
    </w:p>
    <w:p>
      <w:pPr>
        <w:ind w:left="40" w:right="8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to purchase common stock issued as merger consideration pursuant to the Agreement and Plan of Merger by and among Gemini Therapeutics Inc., FS Development Corp., FSG Merger Sub Inc. and Shareholder Representative Services LLC, dated as of October 15, 2020 (the "Merger Agreement"). This option shall vest and become exercisable in 16 equal quarterly installments commencing at the end of the three month period immediately following the Vesting Commencement Date, November 5, 2017; provided the Optionee continues to have a Service Relationship with the Company on each vesting date. Notwithstanding anything in the Agreement to the contrary, in the case of a Sale Event, this Stock Option and the Shares shall be treated as provided in Section 3(c) of the Plan; provided, however, 100% of the then-unvested Shares shall vest and be exercisable immediately upon a Sale Event.</w:t>
      </w:r>
    </w:p>
    <w:p>
      <w:pPr>
        <w:spacing w:after="0" w:line="32" w:lineRule="exact"/>
        <w:rPr>
          <w:rFonts w:ascii="Times New Roman" w:cs="Times New Roman" w:eastAsia="Times New Roman" w:hAnsi="Times New Roman"/>
          <w:sz w:val="15"/>
          <w:szCs w:val="15"/>
          <w:color w:val="008000"/>
        </w:rPr>
      </w:pPr>
    </w:p>
    <w:p>
      <w:pPr>
        <w:ind w:left="40" w:right="24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to purchase common stock issued as merger consideration pursuant to the Merger Agreement. This option shall vest and become exercisable over a period of four years from the Vesting Start Date, March 11, 2020 with 25% vesting on the one year anniversary of the Vesting Start Date, and the remainder vesting over a period of 36 months thereafter, provided that as of each such date the Grantee remains in a business relationship with the Company.</w:t>
      </w:r>
    </w:p>
    <w:p>
      <w:pPr>
        <w:spacing w:after="0" w:line="29" w:lineRule="exact"/>
        <w:rPr>
          <w:rFonts w:ascii="Times New Roman" w:cs="Times New Roman" w:eastAsia="Times New Roman" w:hAnsi="Times New Roman"/>
          <w:sz w:val="15"/>
          <w:szCs w:val="15"/>
          <w:color w:val="008000"/>
        </w:rPr>
      </w:pPr>
    </w:p>
    <w:p>
      <w:pPr>
        <w:jc w:val="both"/>
        <w:ind w:left="40" w:right="1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Stock option to purchase common stock issued as merger consideration pursuant to the Merger Agreement. This option shall vest and become exercisable 25% shall vest on the one year anniversary of the Vesting Start Date, October 16, 2020, and the remainder shall vest over a period of 36 months thereafter, provided that as of each such vesting date the Grantee remains in a business relationship with the Company.</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02/09/2021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60" w:orient="portrait"/>
          <w:cols w:equalWidth="0" w:num="1">
            <w:col w:w="10940"/>
          </w:cols>
          <w:pgMar w:left="480" w:top="230" w:right="479" w:bottom="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8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0" w:lineRule="exact"/>
        <w:rPr>
          <w:sz w:val="20"/>
          <w:szCs w:val="20"/>
          <w:color w:val="auto"/>
        </w:rPr>
      </w:pPr>
    </w:p>
    <w:p>
      <w:pPr>
        <w:ind w:left="1440" w:right="220" w:hanging="720"/>
        <w:spacing w:after="0" w:line="256"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Gemini Therapeutics,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8" w:lineRule="exact"/>
        <w:rPr>
          <w:rFonts w:ascii="Times New Roman" w:cs="Times New Roman" w:eastAsia="Times New Roman" w:hAnsi="Times New Roman"/>
          <w:sz w:val="20"/>
          <w:szCs w:val="20"/>
          <w:color w:val="auto"/>
        </w:rPr>
      </w:pPr>
    </w:p>
    <w:p>
      <w:pPr>
        <w:ind w:left="1440" w:right="40" w:hanging="720"/>
        <w:spacing w:after="0" w:line="266"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ind w:left="1440" w:right="20" w:hanging="720"/>
        <w:spacing w:after="0" w:line="258"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11" w:lineRule="exact"/>
        <w:rPr>
          <w:sz w:val="20"/>
          <w:szCs w:val="20"/>
          <w:color w:val="auto"/>
        </w:rPr>
      </w:pPr>
    </w:p>
    <w:p>
      <w:pPr>
        <w:ind w:right="60" w:firstLine="720"/>
        <w:spacing w:after="0" w:line="27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21</w:t>
      </w:r>
      <w:r>
        <w:rPr>
          <w:rFonts w:ascii="Times New Roman" w:cs="Times New Roman" w:eastAsia="Times New Roman" w:hAnsi="Times New Roman"/>
          <w:sz w:val="33"/>
          <w:szCs w:val="33"/>
          <w:color w:val="auto"/>
          <w:vertAlign w:val="superscript"/>
        </w:rPr>
        <w:t>st</w:t>
      </w:r>
      <w:r>
        <w:rPr>
          <w:rFonts w:ascii="Times New Roman" w:cs="Times New Roman" w:eastAsia="Times New Roman" w:hAnsi="Times New Roman"/>
          <w:sz w:val="20"/>
          <w:szCs w:val="20"/>
          <w:color w:val="auto"/>
        </w:rPr>
        <w:t xml:space="preserve"> day of January,</w:t>
      </w:r>
    </w:p>
    <w:p>
      <w:pPr>
        <w:spacing w:after="0"/>
        <w:rPr>
          <w:sz w:val="20"/>
          <w:szCs w:val="20"/>
          <w:color w:val="auto"/>
        </w:rPr>
      </w:pPr>
      <w:r>
        <w:rPr>
          <w:rFonts w:ascii="Times New Roman" w:cs="Times New Roman" w:eastAsia="Times New Roman" w:hAnsi="Times New Roman"/>
          <w:sz w:val="20"/>
          <w:szCs w:val="20"/>
          <w:color w:val="auto"/>
        </w:rPr>
        <w:t>2021.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Scott Lauder,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8257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Scott Lauder, Ph.D.</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43157"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2021-02-10T16:26:48Z</dcterms:created>
  <dcterms:modified xsi:type="dcterms:W3CDTF">2021-02-10T16:26:48Z</dcterms:modified>
</cp:coreProperties>
</file>