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GEMINI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0" w:space="720"/>
            <w:col w:w="2880" w:space="720"/>
            <w:col w:w="2200"/>
          </w:cols>
          <w:pgMar w:left="440" w:top="362"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0" w:space="720"/>
            <w:col w:w="2760" w:space="720"/>
            <w:col w:w="2340"/>
          </w:cols>
          <w:pgMar w:left="440" w:top="362" w:right="4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7"/>
          <w:szCs w:val="17"/>
          <w:b w:val="1"/>
          <w:bCs w:val="1"/>
          <w:color w:val="auto"/>
        </w:rPr>
        <w:t xml:space="preserve">297 Boston Post Road #248, Wayland, MA </w:t>
      </w:r>
      <w:r>
        <w:rPr>
          <w:rFonts w:ascii="Times New Roman" w:cs="Times New Roman" w:eastAsia="Times New Roman" w:hAnsi="Times New Roman"/>
          <w:sz w:val="14"/>
          <w:szCs w:val="14"/>
          <w:b w:val="1"/>
          <w:bCs w:val="1"/>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01778</w:t>
      </w:r>
    </w:p>
    <w:p>
      <w:pPr>
        <w:spacing w:after="0" w:line="43" w:lineRule="exact"/>
        <w:rPr>
          <w:sz w:val="24"/>
          <w:szCs w:val="24"/>
          <w:color w:val="auto"/>
        </w:rPr>
      </w:pPr>
    </w:p>
    <w:p>
      <w:pPr>
        <w:sectPr>
          <w:pgSz w:w="11900" w:h="16838" w:orient="portrait"/>
          <w:cols w:equalWidth="0" w:num="2">
            <w:col w:w="7400" w:space="720"/>
            <w:col w:w="2900"/>
          </w:cols>
          <w:pgMar w:left="440" w:top="362"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0" w:space="720"/>
            <w:col w:w="3020"/>
          </w:cols>
          <w:pgMar w:left="440" w:top="362"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401-4400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GMTX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40" w:right="160" w:hanging="426"/>
        <w:spacing w:after="0" w:line="282" w:lineRule="auto"/>
        <w:tabs>
          <w:tab w:leader="none" w:pos="44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0" w:right="160" w:hanging="426"/>
        <w:spacing w:after="0" w:line="282" w:lineRule="auto"/>
        <w:tabs>
          <w:tab w:leader="none" w:pos="449"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4" w:lineRule="exact"/>
        <w:rPr>
          <w:rFonts w:ascii="MS PGothic" w:cs="MS PGothic" w:eastAsia="MS PGothic" w:hAnsi="MS PGothic"/>
          <w:sz w:val="18"/>
          <w:szCs w:val="18"/>
          <w:color w:val="auto"/>
        </w:rPr>
      </w:pPr>
    </w:p>
    <w:p>
      <w:pPr>
        <w:ind w:left="420" w:right="50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The Company does not currently maintain a physical headquarters but maintains a mailing address at 297 Boston Post Road #248, Wayland, MA 01778.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Chief Medical Officer</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as of April 15, 2022 (the “Separation Date”), Samuel Barone, M.D. will depart as the Chief Medical Officer of Gemini Therapeutics, Inc. (the “Company”). Dr. Barone will receive a retention bonus and severance benefits in accordance with the Retention Agreement, by and between the Company and Dr. Barone, dated October 4, 2021 (the “Retention Agreement”), which provides that Dr. Barone is entitled to receive (i) a lump sum amount equal to nine (9) months of his base salary, (ii) a pro rata portion of his target bonus (as defined in his employment agreement) for 2022 (the calendar year in which the last day of his employment occurs), and (iii) monthly COBRA premiums paid by the Company until the earlier of (a) nine (9) months from the Separation Date, (b) the date Dr. Barone becomes eligible for health insurance through another employer, or (c) the cessation of</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Dr. Barone’s continuation coverage rights under COBRA. The Retention Agreement also contains a reaffirmation of Dr. Barone’s confidentiality and restrictive covenant obligations to the Company and a general release of claims by Dr. Barone. Dr. Barone will continue to contribute to the Company in an advisory role for a period of time following the Separation Date pursuant to an advisory agreement by and between the Company and Dr. Barone (the “Advisory Agreement”), during which time he will continue to vest in his existing equity awards.</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foregoing summary does not purport to be complete and is qualified in its entirety by the Retention Agreement, a copy of which was filed as Exhibit 10.1 to the Company’s quarterly report on Form 10-Q filed on November 15, 2021, and is incorporated herein by reference, and the Advisory Agreement, a copy of which will be filed as an exhibit to the Company’s Form 10-Q for the quarter ended March 31, 2022.</w:t>
      </w:r>
    </w:p>
    <w:p>
      <w:pPr>
        <w:sectPr>
          <w:pgSz w:w="11900" w:h="16838" w:orient="portrait"/>
          <w:cols w:equalWidth="0" w:num="1">
            <w:col w:w="10980"/>
          </w:cols>
          <w:pgMar w:left="440" w:top="293" w:right="47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Brian Piekos</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5, 2022</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2022-04-05T07:04:06Z</dcterms:created>
  <dcterms:modified xsi:type="dcterms:W3CDTF">2022-04-05T07:04:06Z</dcterms:modified>
</cp:coreProperties>
</file>