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jc w:val="center"/>
        <w:ind w:right="-79"/>
        <w:spacing w:after="0"/>
        <w:tabs>
          <w:tab w:leader="none" w:pos="200" w:val="left"/>
        </w:tabs>
        <w:rPr>
          <w:sz w:val="20"/>
          <w:szCs w:val="20"/>
          <w:color w:val="auto"/>
        </w:rPr>
      </w:pPr>
      <w:r>
        <w:rPr>
          <w:rFonts w:ascii="Times New Roman" w:cs="Times New Roman" w:eastAsia="Times New Roman" w:hAnsi="Times New Roman"/>
          <w:sz w:val="22"/>
          <w:szCs w:val="22"/>
          <w:b w:val="1"/>
          <w:bCs w:val="1"/>
          <w:color w:val="auto"/>
        </w:rPr>
        <w:t>(Amendment No.</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Disc Medicine, Inc.</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254604 101</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29, 2022</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1200" w:hanging="213"/>
        <w:spacing w:after="0"/>
        <w:tabs>
          <w:tab w:leader="none" w:pos="12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200660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1" w:right="51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254604 101</w:t>
      </w:r>
    </w:p>
    <w:p>
      <w:pPr>
        <w:spacing w:after="0" w:line="144" w:lineRule="exact"/>
        <w:rPr>
          <w:sz w:val="20"/>
          <w:szCs w:val="20"/>
          <w:color w:val="auto"/>
        </w:rPr>
      </w:pPr>
    </w:p>
    <w:p>
      <w:pPr>
        <w:ind w:left="664" w:right="8280" w:hanging="417"/>
        <w:spacing w:after="0" w:line="430" w:lineRule="auto"/>
        <w:tabs>
          <w:tab w:leader="none" w:pos="66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 Novo Holdings A/S</w:t>
      </w:r>
    </w:p>
    <w:p>
      <w:pPr>
        <w:spacing w:after="0" w:line="1" w:lineRule="exact"/>
        <w:rPr>
          <w:rFonts w:ascii="Times New Roman" w:cs="Times New Roman" w:eastAsia="Times New Roman" w:hAnsi="Times New Roman"/>
          <w:sz w:val="17"/>
          <w:szCs w:val="17"/>
          <w:color w:val="auto"/>
        </w:rPr>
      </w:pPr>
    </w:p>
    <w:p>
      <w:pPr>
        <w:ind w:left="664" w:hanging="417"/>
        <w:spacing w:after="0"/>
        <w:tabs>
          <w:tab w:leader="none" w:pos="6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-573405</wp:posOffset>
            </wp:positionV>
            <wp:extent cx="6926580" cy="5220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 w:lineRule="exact"/>
        <w:rPr>
          <w:sz w:val="20"/>
          <w:szCs w:val="20"/>
          <w:color w:val="auto"/>
        </w:rPr>
      </w:pPr>
    </w:p>
    <w:p>
      <w:pPr>
        <w:ind w:left="664"/>
        <w:spacing w:after="0" w:line="207" w:lineRule="exact"/>
        <w:tabs>
          <w:tab w:leader="none" w:pos="144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4" w:hanging="417"/>
        <w:spacing w:after="0"/>
        <w:tabs>
          <w:tab w:leader="none" w:pos="6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4" w:right="7580" w:hanging="417"/>
        <w:spacing w:after="0" w:line="406" w:lineRule="auto"/>
        <w:tabs>
          <w:tab w:leader="none" w:pos="6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Denmark</w:t>
      </w:r>
    </w:p>
    <w:p>
      <w:pPr>
        <w:spacing w:after="0" w:line="1" w:lineRule="exact"/>
        <w:rPr>
          <w:rFonts w:ascii="Times New Roman" w:cs="Times New Roman" w:eastAsia="Times New Roman" w:hAnsi="Times New Roman"/>
          <w:sz w:val="18"/>
          <w:szCs w:val="18"/>
          <w:color w:val="auto"/>
        </w:rPr>
      </w:pPr>
    </w:p>
    <w:p>
      <w:pPr>
        <w:ind w:left="1664" w:hanging="436"/>
        <w:spacing w:after="0"/>
        <w:tabs>
          <w:tab w:leader="none" w:pos="16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80" w:type="dxa"/>
            <w:vAlign w:val="bottom"/>
            <w:tcBorders>
              <w:bottom w:val="single" w:sz="8" w:color="auto"/>
            </w:tcBorders>
          </w:tcPr>
          <w:p>
            <w:pPr>
              <w:spacing w:after="0"/>
              <w:rPr>
                <w:sz w:val="21"/>
                <w:szCs w:val="21"/>
                <w:color w:val="auto"/>
              </w:rPr>
            </w:pPr>
          </w:p>
        </w:tc>
        <w:tc>
          <w:tcPr>
            <w:tcW w:w="9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2,340,772</w:t>
            </w:r>
          </w:p>
        </w:tc>
        <w:tc>
          <w:tcPr>
            <w:tcW w:w="0" w:type="dxa"/>
            <w:vAlign w:val="bottom"/>
          </w:tcPr>
          <w:p>
            <w:pPr>
              <w:spacing w:after="0"/>
              <w:rPr>
                <w:sz w:val="1"/>
                <w:szCs w:val="1"/>
                <w:color w:val="auto"/>
              </w:rPr>
            </w:pPr>
          </w:p>
        </w:tc>
      </w:tr>
      <w:tr>
        <w:trPr>
          <w:trHeight w:val="23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9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80" w:type="dxa"/>
            <w:vAlign w:val="bottom"/>
          </w:tcPr>
          <w:p>
            <w:pPr>
              <w:spacing w:after="0"/>
              <w:rPr>
                <w:sz w:val="18"/>
                <w:szCs w:val="18"/>
                <w:color w:val="auto"/>
              </w:rPr>
            </w:pPr>
          </w:p>
        </w:tc>
        <w:tc>
          <w:tcPr>
            <w:tcW w:w="94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80" w:type="dxa"/>
            <w:vAlign w:val="bottom"/>
            <w:tcBorders>
              <w:bottom w:val="single" w:sz="8" w:color="auto"/>
            </w:tcBorders>
          </w:tcPr>
          <w:p>
            <w:pPr>
              <w:spacing w:after="0"/>
              <w:rPr>
                <w:sz w:val="20"/>
                <w:szCs w:val="20"/>
                <w:color w:val="auto"/>
              </w:rPr>
            </w:pPr>
          </w:p>
        </w:tc>
        <w:tc>
          <w:tcPr>
            <w:tcW w:w="94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2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8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40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8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80" w:type="dxa"/>
            <w:vAlign w:val="bottom"/>
          </w:tcPr>
          <w:p>
            <w:pPr>
              <w:spacing w:after="0"/>
              <w:rPr>
                <w:sz w:val="19"/>
                <w:szCs w:val="19"/>
                <w:color w:val="auto"/>
              </w:rPr>
            </w:pPr>
          </w:p>
        </w:tc>
        <w:tc>
          <w:tcPr>
            <w:tcW w:w="9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2,340,772</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80" w:type="dxa"/>
            <w:vAlign w:val="bottom"/>
            <w:tcBorders>
              <w:bottom w:val="single" w:sz="8" w:color="auto"/>
            </w:tcBorders>
          </w:tcPr>
          <w:p>
            <w:pPr>
              <w:spacing w:after="0"/>
              <w:rPr>
                <w:sz w:val="5"/>
                <w:szCs w:val="5"/>
                <w:color w:val="auto"/>
              </w:rPr>
            </w:pPr>
          </w:p>
        </w:tc>
        <w:tc>
          <w:tcPr>
            <w:tcW w:w="9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20" w:type="dxa"/>
            <w:vAlign w:val="bottom"/>
            <w:vMerge w:val="continue"/>
          </w:tcPr>
          <w:p>
            <w:pPr>
              <w:spacing w:after="0"/>
              <w:rPr>
                <w:sz w:val="12"/>
                <w:szCs w:val="12"/>
                <w:color w:val="auto"/>
              </w:rPr>
            </w:pPr>
          </w:p>
        </w:tc>
        <w:tc>
          <w:tcPr>
            <w:tcW w:w="3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4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9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664"/>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64" w:right="5400" w:hanging="417"/>
        <w:spacing w:after="0" w:line="406" w:lineRule="auto"/>
        <w:tabs>
          <w:tab w:leader="none" w:pos="65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2,340,772</w:t>
      </w:r>
    </w:p>
    <w:p>
      <w:pPr>
        <w:spacing w:after="0" w:line="1"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40"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13.8 % (1)</w:t>
      </w:r>
    </w:p>
    <w:p>
      <w:pPr>
        <w:spacing w:after="0" w:line="36" w:lineRule="exact"/>
        <w:rPr>
          <w:rFonts w:ascii="Times New Roman" w:cs="Times New Roman" w:eastAsia="Times New Roman" w:hAnsi="Times New Roman"/>
          <w:sz w:val="18"/>
          <w:szCs w:val="18"/>
          <w:color w:val="auto"/>
        </w:rPr>
      </w:pPr>
    </w:p>
    <w:p>
      <w:pPr>
        <w:ind w:left="644" w:hanging="487"/>
        <w:spacing w:after="0"/>
        <w:tabs>
          <w:tab w:leader="none" w:pos="6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279" w:lineRule="exact"/>
        <w:rPr>
          <w:rFonts w:ascii="Times New Roman" w:cs="Times New Roman" w:eastAsia="Times New Roman" w:hAnsi="Times New Roman"/>
          <w:sz w:val="18"/>
          <w:szCs w:val="18"/>
          <w:color w:val="auto"/>
        </w:rPr>
      </w:pPr>
    </w:p>
    <w:p>
      <w:pPr>
        <w:ind w:left="424" w:right="40" w:hanging="424"/>
        <w:spacing w:after="0" w:line="282"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16,923,285 shares of the Issuer’s Common Stock outstanding as of December 29, 2022, as reported in the Issuer’s 8-K filed with the Securities and Exchange Commission (the “SEC”) on December 29, 2022.</w:t>
      </w:r>
    </w:p>
    <w:p>
      <w:pPr>
        <w:spacing w:after="0" w:line="94"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4"/>
          </w:cols>
          <w:pgMar w:left="436" w:top="270" w:right="559" w:bottom="1440" w:gutter="0" w:footer="0" w:header="0"/>
        </w:sectPr>
      </w:pPr>
    </w:p>
    <w:bookmarkStart w:id="2" w:name="page3"/>
    <w:bookmarkEnd w:id="2"/>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 (a)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121" w:lineRule="exact"/>
        <w:rPr>
          <w:sz w:val="20"/>
          <w:szCs w:val="20"/>
          <w:color w:val="auto"/>
        </w:rPr>
      </w:pPr>
    </w:p>
    <w:p>
      <w:pPr>
        <w:ind w:left="1104"/>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127" w:lineRule="exact"/>
        <w:rPr>
          <w:sz w:val="20"/>
          <w:szCs w:val="20"/>
          <w:color w:val="auto"/>
        </w:rPr>
      </w:pPr>
    </w:p>
    <w:p>
      <w:pPr>
        <w:ind w:left="1104" w:right="6180" w:hanging="474"/>
        <w:spacing w:after="0" w:line="378" w:lineRule="auto"/>
        <w:tabs>
          <w:tab w:leader="none" w:pos="1082"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Address of Issuer’s Principal Executive Offices: </w:t>
      </w:r>
      <w:r>
        <w:rPr>
          <w:rFonts w:ascii="Times New Roman" w:cs="Times New Roman" w:eastAsia="Times New Roman" w:hAnsi="Times New Roman"/>
          <w:sz w:val="18"/>
          <w:szCs w:val="18"/>
          <w:color w:val="auto"/>
        </w:rPr>
        <w:t>321 Arsenal St. Suite 101</w:t>
      </w:r>
    </w:p>
    <w:p>
      <w:pPr>
        <w:ind w:left="110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Watertown, MA 02472</w:t>
      </w:r>
    </w:p>
    <w:p>
      <w:pPr>
        <w:spacing w:after="0" w:line="37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2. (a)</w:t>
        <w:tab/>
        <w:t>Name of Person Filing:</w:t>
      </w:r>
    </w:p>
    <w:p>
      <w:pPr>
        <w:spacing w:after="0" w:line="121" w:lineRule="exact"/>
        <w:rPr>
          <w:sz w:val="20"/>
          <w:szCs w:val="20"/>
          <w:color w:val="auto"/>
        </w:rPr>
      </w:pPr>
    </w:p>
    <w:p>
      <w:pPr>
        <w:ind w:left="1104"/>
        <w:spacing w:after="0" w:line="258" w:lineRule="auto"/>
        <w:rPr>
          <w:sz w:val="20"/>
          <w:szCs w:val="20"/>
          <w:color w:val="auto"/>
        </w:rPr>
      </w:pPr>
      <w:r>
        <w:rPr>
          <w:rFonts w:ascii="Times New Roman" w:cs="Times New Roman" w:eastAsia="Times New Roman" w:hAnsi="Times New Roman"/>
          <w:sz w:val="18"/>
          <w:szCs w:val="18"/>
          <w:color w:val="auto"/>
        </w:rPr>
        <w:t>Novo Holdings A/S, a Danish corporation, is an investment firm focused on life sciences and finance that is wholly owned by Novo Nordisk Foundation (the “Foundation”), a Danish commercial foundation. Novo Holdings A/S is the holding company in the group of Novo companies (currently comprised of Novo Nordisk A/S and Novozymes A/S) and is responsible for managing the Foundation’s assets, including its financial assets. Based on the governance structure of Novo Holdings A/S and the Foundation, the Foundation is not deemed to have any beneficial ownership of the securities of the Issuer held by Novo Holdings A/S.</w:t>
      </w:r>
    </w:p>
    <w:p>
      <w:pPr>
        <w:spacing w:after="0" w:line="85" w:lineRule="exact"/>
        <w:rPr>
          <w:sz w:val="20"/>
          <w:szCs w:val="20"/>
          <w:color w:val="auto"/>
        </w:rPr>
      </w:pPr>
    </w:p>
    <w:p>
      <w:pPr>
        <w:ind w:left="1104" w:right="5300" w:hanging="474"/>
        <w:spacing w:after="0" w:line="377" w:lineRule="auto"/>
        <w:tabs>
          <w:tab w:leader="none" w:pos="1082"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Address or Principal Business Office or, if none, Residence: </w:t>
      </w:r>
      <w:r>
        <w:rPr>
          <w:rFonts w:ascii="Times New Roman" w:cs="Times New Roman" w:eastAsia="Times New Roman" w:hAnsi="Times New Roman"/>
          <w:sz w:val="18"/>
          <w:szCs w:val="18"/>
          <w:color w:val="auto"/>
        </w:rPr>
        <w:t>Tuborg Havnevej 19</w:t>
      </w:r>
    </w:p>
    <w:p>
      <w:pPr>
        <w:spacing w:after="0" w:line="1" w:lineRule="exact"/>
        <w:rPr>
          <w:rFonts w:ascii="Times New Roman" w:cs="Times New Roman" w:eastAsia="Times New Roman" w:hAnsi="Times New Roman"/>
          <w:sz w:val="18"/>
          <w:szCs w:val="18"/>
          <w:b w:val="1"/>
          <w:bCs w:val="1"/>
          <w:color w:val="auto"/>
        </w:rPr>
      </w:pPr>
    </w:p>
    <w:p>
      <w:pPr>
        <w:ind w:left="110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2900 Hellerup, Denmark</w:t>
      </w:r>
    </w:p>
    <w:p>
      <w:pPr>
        <w:spacing w:after="0" w:line="126" w:lineRule="exact"/>
        <w:rPr>
          <w:rFonts w:ascii="Times New Roman" w:cs="Times New Roman" w:eastAsia="Times New Roman" w:hAnsi="Times New Roman"/>
          <w:sz w:val="18"/>
          <w:szCs w:val="18"/>
          <w:b w:val="1"/>
          <w:bCs w:val="1"/>
          <w:color w:val="auto"/>
        </w:rPr>
      </w:pPr>
    </w:p>
    <w:p>
      <w:pPr>
        <w:ind w:left="1084" w:hanging="454"/>
        <w:spacing w:after="0"/>
        <w:tabs>
          <w:tab w:leader="none" w:pos="1084"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Citizenship or Place of Organization:</w:t>
      </w:r>
    </w:p>
    <w:p>
      <w:pPr>
        <w:spacing w:after="0" w:line="121" w:lineRule="exact"/>
        <w:rPr>
          <w:sz w:val="20"/>
          <w:szCs w:val="20"/>
          <w:color w:val="auto"/>
        </w:rPr>
      </w:pPr>
    </w:p>
    <w:p>
      <w:pPr>
        <w:ind w:left="1104"/>
        <w:spacing w:after="0"/>
        <w:rPr>
          <w:sz w:val="20"/>
          <w:szCs w:val="20"/>
          <w:color w:val="auto"/>
        </w:rPr>
      </w:pPr>
      <w:r>
        <w:rPr>
          <w:rFonts w:ascii="Times New Roman" w:cs="Times New Roman" w:eastAsia="Times New Roman" w:hAnsi="Times New Roman"/>
          <w:sz w:val="18"/>
          <w:szCs w:val="18"/>
          <w:color w:val="auto"/>
        </w:rPr>
        <w:t>Denmark</w:t>
      </w:r>
    </w:p>
    <w:p>
      <w:pPr>
        <w:spacing w:after="0" w:line="127" w:lineRule="exact"/>
        <w:rPr>
          <w:sz w:val="20"/>
          <w:szCs w:val="20"/>
          <w:color w:val="auto"/>
        </w:rPr>
      </w:pPr>
    </w:p>
    <w:p>
      <w:pPr>
        <w:ind w:left="1104" w:right="7780" w:hanging="474"/>
        <w:spacing w:after="0" w:line="383" w:lineRule="auto"/>
        <w:tabs>
          <w:tab w:leader="none" w:pos="108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Title of Class of Securities: </w:t>
      </w:r>
      <w:r>
        <w:rPr>
          <w:rFonts w:ascii="Times New Roman" w:cs="Times New Roman" w:eastAsia="Times New Roman" w:hAnsi="Times New Roman"/>
          <w:sz w:val="18"/>
          <w:szCs w:val="18"/>
          <w:color w:val="auto"/>
        </w:rPr>
        <w:t>Common Stock</w:t>
      </w:r>
    </w:p>
    <w:p>
      <w:pPr>
        <w:ind w:left="1084" w:hanging="454"/>
        <w:spacing w:after="0"/>
        <w:tabs>
          <w:tab w:leader="none" w:pos="1084"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CUSIP Number:</w:t>
      </w:r>
    </w:p>
    <w:p>
      <w:pPr>
        <w:spacing w:after="0" w:line="121" w:lineRule="exact"/>
        <w:rPr>
          <w:sz w:val="20"/>
          <w:szCs w:val="20"/>
          <w:color w:val="auto"/>
        </w:rPr>
      </w:pPr>
    </w:p>
    <w:p>
      <w:pPr>
        <w:ind w:left="1104"/>
        <w:spacing w:after="0"/>
        <w:rPr>
          <w:sz w:val="20"/>
          <w:szCs w:val="20"/>
          <w:color w:val="auto"/>
        </w:rPr>
      </w:pPr>
      <w:r>
        <w:rPr>
          <w:rFonts w:ascii="Times New Roman" w:cs="Times New Roman" w:eastAsia="Times New Roman" w:hAnsi="Times New Roman"/>
          <w:sz w:val="18"/>
          <w:szCs w:val="18"/>
          <w:color w:val="auto"/>
        </w:rPr>
        <w:t>254604 101</w:t>
      </w:r>
    </w:p>
    <w:p>
      <w:pPr>
        <w:spacing w:after="0" w:line="37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§§240.13d-1(b) or 240.13d-2(b) or (c), check whether the person filing is a:</w:t>
      </w:r>
    </w:p>
    <w:p>
      <w:pPr>
        <w:spacing w:after="0" w:line="12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70" w:lineRule="exact"/>
        <w:rPr>
          <w:sz w:val="20"/>
          <w:szCs w:val="20"/>
          <w:color w:val="auto"/>
        </w:rPr>
      </w:pPr>
    </w:p>
    <w:tbl>
      <w:tblPr>
        <w:tblLayout w:type="fixed"/>
        <w:tblInd w:w="1324" w:type="dxa"/>
        <w:tblCellMar>
          <w:top w:w="0" w:type="dxa"/>
          <w:left w:w="0" w:type="dxa"/>
          <w:bottom w:w="0" w:type="dxa"/>
          <w:right w:w="0" w:type="dxa"/>
        </w:tblCellMar>
      </w:tblPr>
      <w:tr>
        <w:trPr>
          <w:trHeight w:val="216"/>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t>
            </w:r>
          </w:p>
        </w:tc>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Amount beneficially owned:</w:t>
            </w:r>
          </w:p>
        </w:tc>
        <w:tc>
          <w:tcPr>
            <w:tcW w:w="21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2,340,772</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Percent of class:</w:t>
            </w:r>
          </w:p>
        </w:tc>
        <w:tc>
          <w:tcPr>
            <w:tcW w:w="2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13.8%</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Number of shares as to which such person has:</w:t>
            </w:r>
          </w:p>
        </w:tc>
        <w:tc>
          <w:tcPr>
            <w:tcW w:w="2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 Sole power to vote or to direct the vote:</w:t>
            </w:r>
          </w:p>
        </w:tc>
        <w:tc>
          <w:tcPr>
            <w:tcW w:w="2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2,340,772</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40" w:type="dxa"/>
            <w:vAlign w:val="bottom"/>
            <w:shd w:val="clear" w:color="auto" w:fill="CCEEFF"/>
          </w:tcPr>
          <w:p>
            <w:pPr>
              <w:spacing w:after="0"/>
              <w:rPr>
                <w:sz w:val="18"/>
                <w:szCs w:val="18"/>
                <w:color w:val="auto"/>
              </w:rPr>
            </w:pPr>
          </w:p>
        </w:tc>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(ii) Shared power to vote or to direct the vote:</w:t>
            </w:r>
          </w:p>
        </w:tc>
        <w:tc>
          <w:tcPr>
            <w:tcW w:w="21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(iii) Sole power to dispose or to direct the disposition of:</w:t>
            </w:r>
          </w:p>
        </w:tc>
        <w:tc>
          <w:tcPr>
            <w:tcW w:w="2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2,340,772</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40" w:type="dxa"/>
            <w:vAlign w:val="bottom"/>
            <w:shd w:val="clear" w:color="auto" w:fill="CCEEFF"/>
          </w:tcPr>
          <w:p>
            <w:pPr>
              <w:spacing w:after="0"/>
              <w:rPr>
                <w:sz w:val="18"/>
                <w:szCs w:val="18"/>
                <w:color w:val="auto"/>
              </w:rPr>
            </w:pPr>
          </w:p>
        </w:tc>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(iv) Shared power to dispose or to direct the disposition of:</w:t>
            </w:r>
          </w:p>
        </w:tc>
        <w:tc>
          <w:tcPr>
            <w:tcW w:w="21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shd w:val="clear" w:color="auto" w:fill="CCEEFF"/>
          </w:tcPr>
          <w:p>
            <w:pPr>
              <w:spacing w:after="0"/>
              <w:rPr>
                <w:sz w:val="18"/>
                <w:szCs w:val="18"/>
                <w:color w:val="auto"/>
              </w:rPr>
            </w:pPr>
          </w:p>
        </w:tc>
      </w:tr>
    </w:tbl>
    <w:p>
      <w:pPr>
        <w:spacing w:after="0" w:line="225" w:lineRule="exact"/>
        <w:rPr>
          <w:sz w:val="20"/>
          <w:szCs w:val="20"/>
          <w:color w:val="auto"/>
        </w:rPr>
      </w:pPr>
    </w:p>
    <w:p>
      <w:pPr>
        <w:ind w:left="424" w:right="500" w:hanging="424"/>
        <w:spacing w:after="0" w:line="261"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Novo Holdings A/S has the sole power to vote and dispose of the shares, and no individual or other entity is deemed to hold any beneficial ownership in the shares.</w:t>
      </w:r>
    </w:p>
    <w:p>
      <w:pPr>
        <w:ind w:left="424" w:right="60" w:hanging="424"/>
        <w:spacing w:after="0" w:line="260"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16,923,285 shares of the Issuer’s Common Stock outstanding as of December 29, 2022, as reported in the Issuer’s 8-K filed with the SEC on December 29, 2022.</w:t>
      </w:r>
    </w:p>
    <w:p>
      <w:pPr>
        <w:spacing w:after="0" w:line="114"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4"/>
          </w:cols>
          <w:pgMar w:left="436" w:top="266" w:right="539" w:bottom="1440" w:gutter="0" w:footer="0" w:header="0"/>
        </w:sectPr>
      </w:pPr>
    </w:p>
    <w:bookmarkStart w:id="3" w:name="page4"/>
    <w:bookmarkEnd w:id="3"/>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980" w:right="620" w:hanging="984"/>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5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Certifications:</w:t>
      </w:r>
    </w:p>
    <w:p>
      <w:pPr>
        <w:spacing w:after="0" w:line="121"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440" w:top="266" w:right="519" w:bottom="1440" w:gutter="0" w:footer="0" w:header="0"/>
        </w:sectPr>
      </w:pPr>
    </w:p>
    <w:bookmarkStart w:id="4" w:name="page5"/>
    <w:bookmarkEnd w:id="4"/>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89"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Dated: January 3, 2023</w:t>
      </w:r>
      <w:r>
        <w:rPr>
          <w:sz w:val="20"/>
          <w:szCs w:val="20"/>
          <w:color w:val="auto"/>
        </w:rPr>
        <w:tab/>
      </w:r>
      <w:r>
        <w:rPr>
          <w:rFonts w:ascii="Times New Roman" w:cs="Times New Roman" w:eastAsia="Times New Roman" w:hAnsi="Times New Roman"/>
          <w:sz w:val="18"/>
          <w:szCs w:val="18"/>
          <w:color w:val="auto"/>
        </w:rPr>
        <w:t>Novo Holdings A/S</w:t>
      </w:r>
    </w:p>
    <w:p>
      <w:pPr>
        <w:spacing w:after="0" w:line="22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Barbara Fiorini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By: Barbara Fiorini Due</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Its: General Counsel of Novo Holdings A/S</w:t>
      </w:r>
    </w:p>
    <w:sectPr>
      <w:pgSz w:w="11900" w:h="16838" w:orient="portrait"/>
      <w:cols w:equalWidth="0" w:num="1">
        <w:col w:w="10900"/>
      </w:cols>
      <w:pgMar w:left="440" w:top="266"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lvl w:ilvl="1">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3"/>
    </w:lvl>
    <w:lvl w:ilvl="1">
      <w:lvlJc w:val="left"/>
      <w:lvlText w:val="%2."/>
      <w:numFmt w:val="decimal"/>
      <w:start w:val="5"/>
    </w:lvl>
  </w:abstractNum>
  <w:abstractNum w:abstractNumId="5">
    <w:nsid w:val="515F007C"/>
    <w:multiLevelType w:val="hybridMultilevel"/>
    <w:lvl w:ilvl="0">
      <w:lvlJc w:val="left"/>
      <w:lvlText w:val="%1"/>
      <w:numFmt w:val="decimal"/>
      <w:start w:val="1"/>
    </w:lvl>
    <w:lvl w:ilvl="1">
      <w:lvlJc w:val="left"/>
      <w:lvlText w:val="%2."/>
      <w:numFmt w:val="decimal"/>
      <w:start w:val="9"/>
    </w:lvl>
  </w:abstractNum>
  <w:abstractNum w:abstractNumId="6">
    <w:nsid w:val="5BD062C2"/>
    <w:multiLevelType w:val="hybridMultilevel"/>
    <w:lvl w:ilvl="0">
      <w:lvlJc w:val="left"/>
      <w:lvlText w:val="(%1)"/>
      <w:numFmt w:val="decimal"/>
      <w:start w:val="1"/>
    </w:lvl>
    <w:lvl w:ilvl="1">
      <w:lvlJc w:val="left"/>
      <w:lvlText w:val="%2"/>
      <w:numFmt w:val="decimal"/>
      <w:start w:val="1"/>
    </w:lvl>
  </w:abstractNum>
  <w:abstractNum w:abstractNumId="7">
    <w:nsid w:val="12200854"/>
    <w:multiLevelType w:val="hybridMultilevel"/>
    <w:lvl w:ilvl="0">
      <w:lvlJc w:val="left"/>
      <w:lvlText w:val="(%1)"/>
      <w:numFmt w:val="lowerLetter"/>
      <w:start w:val="2"/>
    </w:lvl>
  </w:abstractNum>
  <w:abstractNum w:abstractNumId="8">
    <w:nsid w:val="4DB127F8"/>
    <w:multiLevelType w:val="hybridMultilevel"/>
    <w:lvl w:ilvl="0">
      <w:lvlJc w:val="left"/>
      <w:lvlText w:val="(%1)"/>
      <w:numFmt w:val="lowerLetter"/>
      <w:start w:val="2"/>
    </w:lvl>
  </w:abstractNum>
  <w:abstractNum w:abstractNumId="9">
    <w:nsid w:val="216231B"/>
    <w:multiLevelType w:val="hybridMultilevel"/>
    <w:lvl w:ilvl="0">
      <w:lvlJc w:val="left"/>
      <w:lvlText w:val="(%1)"/>
      <w:numFmt w:val="lowerLetter"/>
      <w:start w:val="4"/>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2023-01-03T15:36:34Z</dcterms:created>
  <dcterms:modified xsi:type="dcterms:W3CDTF">2023-01-03T15:36:34Z</dcterms:modified>
</cp:coreProperties>
</file>