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nder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DISC MEDICINE,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254604101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LIGHTSTONE VENTURES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500 BOYLSTON ST. SUITE 1380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TELEPHONE: (617) 933-3770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December 29,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firstLine="8"/>
        <w:spacing w:after="0" w:line="282" w:lineRule="auto"/>
        <w:tabs>
          <w:tab w:leader="none" w:pos="1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tbl>
      <w:tblPr>
        <w:tblLayout w:type="fixed"/>
        <w:tblInd w:w="92"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254604101</w:t>
            </w: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892" w:hanging="795"/>
        <w:spacing w:after="0"/>
        <w:tabs>
          <w:tab w:leader="none" w:pos="8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Lightstone Ventures, L.P.</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32" w:hanging="238"/>
        <w:spacing w:after="0" w:line="207" w:lineRule="exact"/>
        <w:tabs>
          <w:tab w:leader="none" w:pos="1132"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52" w:hanging="258"/>
        <w:spacing w:after="0" w:line="207" w:lineRule="exact"/>
        <w:tabs>
          <w:tab w:leader="none" w:pos="1152"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(1)</w:t>
      </w:r>
    </w:p>
    <w:p>
      <w:pPr>
        <w:spacing w:after="0" w:line="22" w:lineRule="exact"/>
        <w:rPr>
          <w:rFonts w:ascii="Times New Roman" w:cs="Times New Roman" w:eastAsia="Times New Roman" w:hAnsi="Times New Roman"/>
          <w:sz w:val="18"/>
          <w:szCs w:val="18"/>
          <w:b w:val="1"/>
          <w:bCs w:val="1"/>
          <w:color w:val="auto"/>
        </w:rPr>
      </w:pPr>
    </w:p>
    <w:p>
      <w:pPr>
        <w:ind w:left="892" w:hanging="795"/>
        <w:spacing w:after="0"/>
        <w:tabs>
          <w:tab w:leader="none" w:pos="8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8"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-533400</wp:posOffset>
            </wp:positionV>
            <wp:extent cx="71323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-1510665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-1090930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92"/>
        <w:spacing w:after="0" w:line="196"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 United States of America</w:t>
      </w:r>
    </w:p>
    <w:p>
      <w:pPr>
        <w:spacing w:after="0" w:line="31" w:lineRule="exact"/>
        <w:rPr>
          <w:rFonts w:ascii="Times New Roman" w:cs="Times New Roman" w:eastAsia="Times New Roman" w:hAnsi="Times New Roman"/>
          <w:sz w:val="18"/>
          <w:szCs w:val="18"/>
          <w:color w:val="auto"/>
        </w:rPr>
      </w:pPr>
    </w:p>
    <w:p>
      <w:pPr>
        <w:ind w:left="3032" w:hanging="559"/>
        <w:spacing w:after="0"/>
        <w:tabs>
          <w:tab w:leader="none" w:pos="303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-550545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tbl>
      <w:tblPr>
        <w:tblLayout w:type="fixed"/>
        <w:tblInd w:w="792" w:type="dxa"/>
        <w:tblCellMar>
          <w:top w:w="0" w:type="dxa"/>
          <w:left w:w="0" w:type="dxa"/>
          <w:bottom w:w="0" w:type="dxa"/>
          <w:right w:w="0" w:type="dxa"/>
        </w:tblCellMar>
      </w:tblPr>
      <w:tr>
        <w:trPr>
          <w:trHeight w:val="234"/>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Pr>
          <w:p>
            <w:pPr>
              <w:spacing w:after="0"/>
              <w:rPr>
                <w:sz w:val="20"/>
                <w:szCs w:val="20"/>
                <w:color w:val="auto"/>
              </w:rPr>
            </w:pP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279,686 shares of Common Stock (2)</w:t>
            </w:r>
          </w:p>
        </w:tc>
        <w:tc>
          <w:tcPr>
            <w:tcW w:w="0" w:type="dxa"/>
            <w:vAlign w:val="bottom"/>
          </w:tcPr>
          <w:p>
            <w:pPr>
              <w:spacing w:after="0"/>
              <w:rPr>
                <w:sz w:val="1"/>
                <w:szCs w:val="1"/>
                <w:color w:val="auto"/>
              </w:rPr>
            </w:pPr>
          </w:p>
        </w:tc>
      </w:tr>
      <w:tr>
        <w:trPr>
          <w:trHeight w:val="189"/>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Borders>
              <w:bottom w:val="single" w:sz="8" w:color="auto"/>
            </w:tcBorders>
          </w:tcPr>
          <w:p>
            <w:pPr>
              <w:spacing w:after="0"/>
              <w:rPr>
                <w:sz w:val="16"/>
                <w:szCs w:val="16"/>
                <w:color w:val="auto"/>
              </w:rPr>
            </w:pPr>
          </w:p>
        </w:tc>
        <w:tc>
          <w:tcPr>
            <w:tcW w:w="8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vMerge w:val="continue"/>
          </w:tcPr>
          <w:p>
            <w:pPr>
              <w:spacing w:after="0"/>
              <w:rPr>
                <w:sz w:val="10"/>
                <w:szCs w:val="10"/>
                <w:color w:val="auto"/>
              </w:rPr>
            </w:pPr>
          </w:p>
        </w:tc>
        <w:tc>
          <w:tcPr>
            <w:tcW w:w="8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21"/>
                <w:szCs w:val="21"/>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Each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0"/>
        </w:trPr>
        <w:tc>
          <w:tcPr>
            <w:tcW w:w="15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279,686 shares of Common Stock (2)</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8"/>
              </w:rPr>
              <w:t>Person With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32"/>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892" w:hanging="795"/>
        <w:spacing w:after="0"/>
        <w:tabs>
          <w:tab w:leader="none" w:pos="8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b w:val="1"/>
          <w:bCs w:val="1"/>
          <w:color w:val="auto"/>
        </w:rPr>
        <w:t>279,686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92"/>
        <w:spacing w:after="0" w:line="207"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 (3)</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42" w:lineRule="exact"/>
        <w:rPr>
          <w:rFonts w:ascii="Times New Roman" w:cs="Times New Roman" w:eastAsia="Times New Roman" w:hAnsi="Times New Roman"/>
          <w:sz w:val="18"/>
          <w:szCs w:val="18"/>
          <w:color w:val="auto"/>
        </w:rPr>
      </w:pPr>
    </w:p>
    <w:p>
      <w:pPr>
        <w:jc w:val="both"/>
        <w:ind w:left="332" w:hanging="332"/>
        <w:spacing w:after="0" w:line="254"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Lightstone Ventures, L.P. (“LV LP”), Lightstone Ventures (A), L.P. (“LV(A) LP”), LSV Associates, LLC (“LSV Associates”), Lightstone Singapore, L.P. (“LV Singapore”), Lightstone Singapore Associates, LLC (“Lightstone Singapore Associates,” together with LV LP, LV(A) LP, LSV Associates and LV Singapore, the “LV Entities”), Michael A. Carusi, Jean M. George and Henry A. Plain, Jr. Together with the LV Entities, Messrs. Carusi and Plain and Ms. George are herein collectively referred to as the “Reporting Persons”). The Reporting Persons expressly disclaim status as a “group” for purposes of this Schedule 13D.</w:t>
      </w:r>
    </w:p>
    <w:p>
      <w:pPr>
        <w:spacing w:after="0" w:line="3" w:lineRule="exact"/>
        <w:rPr>
          <w:rFonts w:ascii="Times New Roman" w:cs="Times New Roman" w:eastAsia="Times New Roman" w:hAnsi="Times New Roman"/>
          <w:sz w:val="18"/>
          <w:szCs w:val="18"/>
          <w:color w:val="auto"/>
        </w:rPr>
      </w:pPr>
    </w:p>
    <w:p>
      <w:pPr>
        <w:jc w:val="both"/>
        <w:ind w:left="332" w:hanging="332"/>
        <w:spacing w:after="0" w:line="250"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by LV LP. LSV Associates serves as the general partner of LV LP. Messrs. Carusi and Plain, and Ms. George, the individual managing directors of LSV Associates, share voting and dispositive power with respect to the shares held of record by LV LP, and may be deemed to own beneficially the shares held by LV LP.</w:t>
      </w:r>
    </w:p>
    <w:p>
      <w:pPr>
        <w:spacing w:after="0" w:line="1" w:lineRule="exact"/>
        <w:rPr>
          <w:rFonts w:ascii="Times New Roman" w:cs="Times New Roman" w:eastAsia="Times New Roman" w:hAnsi="Times New Roman"/>
          <w:sz w:val="18"/>
          <w:szCs w:val="18"/>
          <w:color w:val="auto"/>
        </w:rPr>
      </w:pPr>
    </w:p>
    <w:p>
      <w:pPr>
        <w:jc w:val="both"/>
        <w:ind w:left="332" w:hanging="332"/>
        <w:spacing w:after="0" w:line="255"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-1661160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-2081530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-2501265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421005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 w:name="page3"/>
    <w:bookmarkEnd w:id="2"/>
    <w:tbl>
      <w:tblPr>
        <w:tblLayout w:type="fixed"/>
        <w:tblInd w:w="92"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254604101</w:t>
            </w: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892" w:hanging="795"/>
        <w:spacing w:after="0"/>
        <w:tabs>
          <w:tab w:leader="none" w:pos="8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Lightstone Ventures (A), L.P.</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32" w:hanging="238"/>
        <w:spacing w:after="0" w:line="207" w:lineRule="exact"/>
        <w:tabs>
          <w:tab w:leader="none" w:pos="1132"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52" w:hanging="258"/>
        <w:spacing w:after="0" w:line="207" w:lineRule="exact"/>
        <w:tabs>
          <w:tab w:leader="none" w:pos="1152"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(1)</w:t>
      </w:r>
    </w:p>
    <w:p>
      <w:pPr>
        <w:spacing w:after="0" w:line="22" w:lineRule="exact"/>
        <w:rPr>
          <w:rFonts w:ascii="Times New Roman" w:cs="Times New Roman" w:eastAsia="Times New Roman" w:hAnsi="Times New Roman"/>
          <w:sz w:val="18"/>
          <w:szCs w:val="18"/>
          <w:b w:val="1"/>
          <w:bCs w:val="1"/>
          <w:color w:val="auto"/>
        </w:rPr>
      </w:pPr>
    </w:p>
    <w:p>
      <w:pPr>
        <w:ind w:left="892" w:hanging="795"/>
        <w:spacing w:after="0"/>
        <w:tabs>
          <w:tab w:leader="none" w:pos="8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8"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-533400</wp:posOffset>
            </wp:positionV>
            <wp:extent cx="713232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-1510665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-1090930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92"/>
        <w:spacing w:after="0" w:line="196"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 United States of America</w:t>
      </w:r>
    </w:p>
    <w:p>
      <w:pPr>
        <w:spacing w:after="0" w:line="31" w:lineRule="exact"/>
        <w:rPr>
          <w:rFonts w:ascii="Times New Roman" w:cs="Times New Roman" w:eastAsia="Times New Roman" w:hAnsi="Times New Roman"/>
          <w:sz w:val="18"/>
          <w:szCs w:val="18"/>
          <w:color w:val="auto"/>
        </w:rPr>
      </w:pPr>
    </w:p>
    <w:p>
      <w:pPr>
        <w:ind w:left="3032" w:hanging="559"/>
        <w:spacing w:after="0"/>
        <w:tabs>
          <w:tab w:leader="none" w:pos="303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-550545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tbl>
      <w:tblPr>
        <w:tblLayout w:type="fixed"/>
        <w:tblInd w:w="792" w:type="dxa"/>
        <w:tblCellMar>
          <w:top w:w="0" w:type="dxa"/>
          <w:left w:w="0" w:type="dxa"/>
          <w:bottom w:w="0" w:type="dxa"/>
          <w:right w:w="0" w:type="dxa"/>
        </w:tblCellMar>
      </w:tblPr>
      <w:tr>
        <w:trPr>
          <w:trHeight w:val="234"/>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Pr>
          <w:p>
            <w:pPr>
              <w:spacing w:after="0"/>
              <w:rPr>
                <w:sz w:val="20"/>
                <w:szCs w:val="20"/>
                <w:color w:val="auto"/>
              </w:rPr>
            </w:pP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38,104 shares of Common Stock (2)</w:t>
            </w:r>
          </w:p>
        </w:tc>
        <w:tc>
          <w:tcPr>
            <w:tcW w:w="0" w:type="dxa"/>
            <w:vAlign w:val="bottom"/>
          </w:tcPr>
          <w:p>
            <w:pPr>
              <w:spacing w:after="0"/>
              <w:rPr>
                <w:sz w:val="1"/>
                <w:szCs w:val="1"/>
                <w:color w:val="auto"/>
              </w:rPr>
            </w:pPr>
          </w:p>
        </w:tc>
      </w:tr>
      <w:tr>
        <w:trPr>
          <w:trHeight w:val="189"/>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Borders>
              <w:bottom w:val="single" w:sz="8" w:color="auto"/>
            </w:tcBorders>
          </w:tcPr>
          <w:p>
            <w:pPr>
              <w:spacing w:after="0"/>
              <w:rPr>
                <w:sz w:val="16"/>
                <w:szCs w:val="16"/>
                <w:color w:val="auto"/>
              </w:rPr>
            </w:pPr>
          </w:p>
        </w:tc>
        <w:tc>
          <w:tcPr>
            <w:tcW w:w="8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vMerge w:val="continue"/>
          </w:tcPr>
          <w:p>
            <w:pPr>
              <w:spacing w:after="0"/>
              <w:rPr>
                <w:sz w:val="10"/>
                <w:szCs w:val="10"/>
                <w:color w:val="auto"/>
              </w:rPr>
            </w:pPr>
          </w:p>
        </w:tc>
        <w:tc>
          <w:tcPr>
            <w:tcW w:w="8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21"/>
                <w:szCs w:val="21"/>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Each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0"/>
        </w:trPr>
        <w:tc>
          <w:tcPr>
            <w:tcW w:w="15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38,104 shares of Common Stock (2)</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8"/>
              </w:rPr>
              <w:t>Person With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32"/>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892" w:hanging="795"/>
        <w:spacing w:after="0"/>
        <w:tabs>
          <w:tab w:leader="none" w:pos="8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b w:val="1"/>
          <w:bCs w:val="1"/>
          <w:color w:val="auto"/>
        </w:rPr>
        <w:t>38,104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92"/>
        <w:spacing w:after="0" w:line="207"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0.2% (3)</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42"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332" w:hanging="332"/>
        <w:spacing w:after="0" w:line="250"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by LV(A) LP. LSV Associates serves as the general partner of LV(A) LP. Messrs. Carusi and Plain, and Ms. George, the individual managing directors of LSV Associates, share voting and dispositive power with respect to the shares held of record by LV(A) LP, and may be deemed to own beneficially the shares held by LV(A) LP.</w:t>
      </w:r>
    </w:p>
    <w:p>
      <w:pPr>
        <w:spacing w:after="0" w:line="1" w:lineRule="exact"/>
        <w:rPr>
          <w:rFonts w:ascii="Times New Roman" w:cs="Times New Roman" w:eastAsia="Times New Roman" w:hAnsi="Times New Roman"/>
          <w:sz w:val="18"/>
          <w:szCs w:val="18"/>
          <w:color w:val="auto"/>
        </w:rPr>
      </w:pPr>
    </w:p>
    <w:p>
      <w:pPr>
        <w:jc w:val="both"/>
        <w:ind w:left="332" w:hanging="332"/>
        <w:spacing w:after="0" w:line="255"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-1112520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-1532890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-1952625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421005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 w:name="page4"/>
    <w:bookmarkEnd w:id="3"/>
    <w:tbl>
      <w:tblPr>
        <w:tblLayout w:type="fixed"/>
        <w:tblInd w:w="92"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254604101</w:t>
            </w: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892" w:hanging="795"/>
        <w:spacing w:after="0"/>
        <w:tabs>
          <w:tab w:leader="none" w:pos="8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LSV Associates, LLC</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32" w:hanging="238"/>
        <w:spacing w:after="0" w:line="207" w:lineRule="exact"/>
        <w:tabs>
          <w:tab w:leader="none" w:pos="1132"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52" w:hanging="258"/>
        <w:spacing w:after="0" w:line="207" w:lineRule="exact"/>
        <w:tabs>
          <w:tab w:leader="none" w:pos="1152" w:val="left"/>
        </w:tabs>
        <w:numPr>
          <w:ilvl w:val="1"/>
          <w:numId w:val="1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(1)</w:t>
      </w:r>
    </w:p>
    <w:p>
      <w:pPr>
        <w:spacing w:after="0" w:line="22" w:lineRule="exact"/>
        <w:rPr>
          <w:rFonts w:ascii="Times New Roman" w:cs="Times New Roman" w:eastAsia="Times New Roman" w:hAnsi="Times New Roman"/>
          <w:sz w:val="18"/>
          <w:szCs w:val="18"/>
          <w:b w:val="1"/>
          <w:bCs w:val="1"/>
          <w:color w:val="auto"/>
        </w:rPr>
      </w:pPr>
    </w:p>
    <w:p>
      <w:pPr>
        <w:ind w:left="892" w:hanging="795"/>
        <w:spacing w:after="0"/>
        <w:tabs>
          <w:tab w:leader="none" w:pos="8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8"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-533400</wp:posOffset>
            </wp:positionV>
            <wp:extent cx="713232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-1510665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-1090930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92"/>
        <w:spacing w:after="0" w:line="196"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 United States of America</w:t>
      </w:r>
    </w:p>
    <w:p>
      <w:pPr>
        <w:spacing w:after="0" w:line="31" w:lineRule="exact"/>
        <w:rPr>
          <w:rFonts w:ascii="Times New Roman" w:cs="Times New Roman" w:eastAsia="Times New Roman" w:hAnsi="Times New Roman"/>
          <w:sz w:val="18"/>
          <w:szCs w:val="18"/>
          <w:color w:val="auto"/>
        </w:rPr>
      </w:pPr>
    </w:p>
    <w:p>
      <w:pPr>
        <w:ind w:left="3032" w:hanging="559"/>
        <w:spacing w:after="0"/>
        <w:tabs>
          <w:tab w:leader="none" w:pos="303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-550545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tbl>
      <w:tblPr>
        <w:tblLayout w:type="fixed"/>
        <w:tblInd w:w="792" w:type="dxa"/>
        <w:tblCellMar>
          <w:top w:w="0" w:type="dxa"/>
          <w:left w:w="0" w:type="dxa"/>
          <w:bottom w:w="0" w:type="dxa"/>
          <w:right w:w="0" w:type="dxa"/>
        </w:tblCellMar>
      </w:tblPr>
      <w:tr>
        <w:trPr>
          <w:trHeight w:val="234"/>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Pr>
          <w:p>
            <w:pPr>
              <w:spacing w:after="0"/>
              <w:rPr>
                <w:sz w:val="20"/>
                <w:szCs w:val="20"/>
                <w:color w:val="auto"/>
              </w:rPr>
            </w:pP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317,790 shares of Common Stock (2)</w:t>
            </w:r>
          </w:p>
        </w:tc>
        <w:tc>
          <w:tcPr>
            <w:tcW w:w="0" w:type="dxa"/>
            <w:vAlign w:val="bottom"/>
          </w:tcPr>
          <w:p>
            <w:pPr>
              <w:spacing w:after="0"/>
              <w:rPr>
                <w:sz w:val="1"/>
                <w:szCs w:val="1"/>
                <w:color w:val="auto"/>
              </w:rPr>
            </w:pPr>
          </w:p>
        </w:tc>
      </w:tr>
      <w:tr>
        <w:trPr>
          <w:trHeight w:val="189"/>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Borders>
              <w:bottom w:val="single" w:sz="8" w:color="auto"/>
            </w:tcBorders>
          </w:tcPr>
          <w:p>
            <w:pPr>
              <w:spacing w:after="0"/>
              <w:rPr>
                <w:sz w:val="16"/>
                <w:szCs w:val="16"/>
                <w:color w:val="auto"/>
              </w:rPr>
            </w:pPr>
          </w:p>
        </w:tc>
        <w:tc>
          <w:tcPr>
            <w:tcW w:w="8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vMerge w:val="continue"/>
          </w:tcPr>
          <w:p>
            <w:pPr>
              <w:spacing w:after="0"/>
              <w:rPr>
                <w:sz w:val="10"/>
                <w:szCs w:val="10"/>
                <w:color w:val="auto"/>
              </w:rPr>
            </w:pPr>
          </w:p>
        </w:tc>
        <w:tc>
          <w:tcPr>
            <w:tcW w:w="8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21"/>
                <w:szCs w:val="21"/>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Each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0"/>
        </w:trPr>
        <w:tc>
          <w:tcPr>
            <w:tcW w:w="15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317,790 shares of Common Stock (2)</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8"/>
              </w:rPr>
              <w:t>Person With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32"/>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892" w:hanging="795"/>
        <w:spacing w:after="0"/>
        <w:tabs>
          <w:tab w:leader="none" w:pos="8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b w:val="1"/>
          <w:bCs w:val="1"/>
          <w:color w:val="auto"/>
        </w:rPr>
        <w:t>317,790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92"/>
        <w:spacing w:after="0" w:line="207"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1.8% (3)</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42"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332" w:hanging="332"/>
        <w:spacing w:after="0" w:line="250" w:lineRule="auto"/>
        <w:tabs>
          <w:tab w:leader="none" w:pos="3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as follows: (i) 279,686 by LV LP, and (ii) 38,104 by LV(A) LP. LSV Associates serves as the general partner of LV LP and LV(A) LP. Messrs. Carusi and Plain, and Ms. George, the individual managing directors of LSV Associates, share voting and dispositive power with respect to the shares held of record by LV LP and LV(A) LP, and may be deemed to own beneficially the shares held by LV LP and LV(A) LP.</w:t>
      </w:r>
    </w:p>
    <w:p>
      <w:pPr>
        <w:spacing w:after="0" w:line="1" w:lineRule="exact"/>
        <w:rPr>
          <w:rFonts w:ascii="Times New Roman" w:cs="Times New Roman" w:eastAsia="Times New Roman" w:hAnsi="Times New Roman"/>
          <w:sz w:val="18"/>
          <w:szCs w:val="18"/>
          <w:color w:val="auto"/>
        </w:rPr>
      </w:pPr>
    </w:p>
    <w:p>
      <w:pPr>
        <w:jc w:val="both"/>
        <w:ind w:left="332" w:hanging="332"/>
        <w:spacing w:after="0" w:line="255" w:lineRule="auto"/>
        <w:tabs>
          <w:tab w:leader="none" w:pos="3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-1112520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-1532890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-1952625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421005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 w:name="page5"/>
    <w:bookmarkEnd w:id="4"/>
    <w:tbl>
      <w:tblPr>
        <w:tblLayout w:type="fixed"/>
        <w:tblInd w:w="92"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254604101</w:t>
            </w: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892" w:hanging="795"/>
        <w:spacing w:after="0"/>
        <w:tabs>
          <w:tab w:leader="none" w:pos="8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Lightstone Singapore, L.P.</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32" w:hanging="238"/>
        <w:spacing w:after="0" w:line="207" w:lineRule="exact"/>
        <w:tabs>
          <w:tab w:leader="none" w:pos="1132"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52" w:hanging="258"/>
        <w:spacing w:after="0" w:line="207" w:lineRule="exact"/>
        <w:tabs>
          <w:tab w:leader="none" w:pos="1152" w:val="left"/>
        </w:tabs>
        <w:numPr>
          <w:ilvl w:val="1"/>
          <w:numId w:val="1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(1)</w:t>
      </w:r>
    </w:p>
    <w:p>
      <w:pPr>
        <w:spacing w:after="0" w:line="22" w:lineRule="exact"/>
        <w:rPr>
          <w:rFonts w:ascii="Times New Roman" w:cs="Times New Roman" w:eastAsia="Times New Roman" w:hAnsi="Times New Roman"/>
          <w:sz w:val="18"/>
          <w:szCs w:val="18"/>
          <w:b w:val="1"/>
          <w:bCs w:val="1"/>
          <w:color w:val="auto"/>
        </w:rPr>
      </w:pPr>
    </w:p>
    <w:p>
      <w:pPr>
        <w:ind w:left="892" w:hanging="795"/>
        <w:spacing w:after="0"/>
        <w:tabs>
          <w:tab w:leader="none" w:pos="8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8"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-533400</wp:posOffset>
            </wp:positionV>
            <wp:extent cx="713232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-1510665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-1090930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92"/>
        <w:spacing w:after="0" w:line="196"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 United States of America</w:t>
      </w:r>
    </w:p>
    <w:p>
      <w:pPr>
        <w:spacing w:after="0" w:line="31" w:lineRule="exact"/>
        <w:rPr>
          <w:rFonts w:ascii="Times New Roman" w:cs="Times New Roman" w:eastAsia="Times New Roman" w:hAnsi="Times New Roman"/>
          <w:sz w:val="18"/>
          <w:szCs w:val="18"/>
          <w:color w:val="auto"/>
        </w:rPr>
      </w:pPr>
    </w:p>
    <w:p>
      <w:pPr>
        <w:ind w:left="3032" w:hanging="559"/>
        <w:spacing w:after="0"/>
        <w:tabs>
          <w:tab w:leader="none" w:pos="303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-550545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tbl>
      <w:tblPr>
        <w:tblLayout w:type="fixed"/>
        <w:tblInd w:w="792" w:type="dxa"/>
        <w:tblCellMar>
          <w:top w:w="0" w:type="dxa"/>
          <w:left w:w="0" w:type="dxa"/>
          <w:bottom w:w="0" w:type="dxa"/>
          <w:right w:w="0" w:type="dxa"/>
        </w:tblCellMar>
      </w:tblPr>
      <w:tr>
        <w:trPr>
          <w:trHeight w:val="234"/>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Pr>
          <w:p>
            <w:pPr>
              <w:spacing w:after="0"/>
              <w:rPr>
                <w:sz w:val="20"/>
                <w:szCs w:val="20"/>
                <w:color w:val="auto"/>
              </w:rPr>
            </w:pP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165,819 shares of Common Stock (2)</w:t>
            </w:r>
          </w:p>
        </w:tc>
        <w:tc>
          <w:tcPr>
            <w:tcW w:w="0" w:type="dxa"/>
            <w:vAlign w:val="bottom"/>
          </w:tcPr>
          <w:p>
            <w:pPr>
              <w:spacing w:after="0"/>
              <w:rPr>
                <w:sz w:val="1"/>
                <w:szCs w:val="1"/>
                <w:color w:val="auto"/>
              </w:rPr>
            </w:pPr>
          </w:p>
        </w:tc>
      </w:tr>
      <w:tr>
        <w:trPr>
          <w:trHeight w:val="189"/>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Borders>
              <w:bottom w:val="single" w:sz="8" w:color="auto"/>
            </w:tcBorders>
          </w:tcPr>
          <w:p>
            <w:pPr>
              <w:spacing w:after="0"/>
              <w:rPr>
                <w:sz w:val="16"/>
                <w:szCs w:val="16"/>
                <w:color w:val="auto"/>
              </w:rPr>
            </w:pPr>
          </w:p>
        </w:tc>
        <w:tc>
          <w:tcPr>
            <w:tcW w:w="8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vMerge w:val="continue"/>
          </w:tcPr>
          <w:p>
            <w:pPr>
              <w:spacing w:after="0"/>
              <w:rPr>
                <w:sz w:val="10"/>
                <w:szCs w:val="10"/>
                <w:color w:val="auto"/>
              </w:rPr>
            </w:pPr>
          </w:p>
        </w:tc>
        <w:tc>
          <w:tcPr>
            <w:tcW w:w="8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21"/>
                <w:szCs w:val="21"/>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Each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0"/>
        </w:trPr>
        <w:tc>
          <w:tcPr>
            <w:tcW w:w="15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165,819 shares of Common Stock (2)</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8"/>
              </w:rPr>
              <w:t>Person With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32"/>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892" w:hanging="795"/>
        <w:spacing w:after="0"/>
        <w:tabs>
          <w:tab w:leader="none" w:pos="8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b w:val="1"/>
          <w:bCs w:val="1"/>
          <w:color w:val="auto"/>
        </w:rPr>
        <w:t>165,819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92"/>
        <w:spacing w:after="0" w:line="207"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 (3)</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42"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332" w:hanging="332"/>
        <w:spacing w:after="0" w:line="250" w:lineRule="auto"/>
        <w:tabs>
          <w:tab w:leader="none" w:pos="3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by LV Singapore. Lightstone Singapore Associates serves as the general partner of LV Singapore. Messrs. Carusi and Plain and Ms. George, the individual managing directors of Lightstone Singapore Associates, share voting and dispositive power with respect to the shares held of record by LV Singapore, and may be deemed to own beneficially the shares held by LV Singapore.</w:t>
      </w:r>
    </w:p>
    <w:p>
      <w:pPr>
        <w:spacing w:after="0" w:line="1" w:lineRule="exact"/>
        <w:rPr>
          <w:rFonts w:ascii="Times New Roman" w:cs="Times New Roman" w:eastAsia="Times New Roman" w:hAnsi="Times New Roman"/>
          <w:sz w:val="18"/>
          <w:szCs w:val="18"/>
          <w:color w:val="auto"/>
        </w:rPr>
      </w:pPr>
    </w:p>
    <w:p>
      <w:pPr>
        <w:jc w:val="both"/>
        <w:ind w:left="332" w:hanging="332"/>
        <w:spacing w:after="0" w:line="255" w:lineRule="auto"/>
        <w:tabs>
          <w:tab w:leader="none" w:pos="3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-1112520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-1532890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-1952625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421005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5" w:name="page6"/>
    <w:bookmarkEnd w:id="5"/>
    <w:tbl>
      <w:tblPr>
        <w:tblLayout w:type="fixed"/>
        <w:tblInd w:w="92"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254604101</w:t>
            </w: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892" w:hanging="795"/>
        <w:spacing w:after="0"/>
        <w:tabs>
          <w:tab w:leader="none" w:pos="8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Lightstone Singapore Associates, LLC</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32" w:hanging="238"/>
        <w:spacing w:after="0" w:line="207" w:lineRule="exact"/>
        <w:tabs>
          <w:tab w:leader="none" w:pos="1132"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52" w:hanging="258"/>
        <w:spacing w:after="0" w:line="207" w:lineRule="exact"/>
        <w:tabs>
          <w:tab w:leader="none" w:pos="1152" w:val="left"/>
        </w:tabs>
        <w:numPr>
          <w:ilvl w:val="1"/>
          <w:numId w:val="2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(1)</w:t>
      </w:r>
    </w:p>
    <w:p>
      <w:pPr>
        <w:spacing w:after="0" w:line="22" w:lineRule="exact"/>
        <w:rPr>
          <w:rFonts w:ascii="Times New Roman" w:cs="Times New Roman" w:eastAsia="Times New Roman" w:hAnsi="Times New Roman"/>
          <w:sz w:val="18"/>
          <w:szCs w:val="18"/>
          <w:b w:val="1"/>
          <w:bCs w:val="1"/>
          <w:color w:val="auto"/>
        </w:rPr>
      </w:pPr>
    </w:p>
    <w:p>
      <w:pPr>
        <w:ind w:left="892" w:hanging="795"/>
        <w:spacing w:after="0"/>
        <w:tabs>
          <w:tab w:leader="none" w:pos="8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8"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-533400</wp:posOffset>
            </wp:positionV>
            <wp:extent cx="7132320"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-1510665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-1090930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92"/>
        <w:spacing w:after="0" w:line="196"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 United States of America</w:t>
      </w:r>
    </w:p>
    <w:p>
      <w:pPr>
        <w:spacing w:after="0" w:line="31" w:lineRule="exact"/>
        <w:rPr>
          <w:rFonts w:ascii="Times New Roman" w:cs="Times New Roman" w:eastAsia="Times New Roman" w:hAnsi="Times New Roman"/>
          <w:sz w:val="18"/>
          <w:szCs w:val="18"/>
          <w:color w:val="auto"/>
        </w:rPr>
      </w:pPr>
    </w:p>
    <w:p>
      <w:pPr>
        <w:ind w:left="3032" w:hanging="559"/>
        <w:spacing w:after="0"/>
        <w:tabs>
          <w:tab w:leader="none" w:pos="303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-550545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tbl>
      <w:tblPr>
        <w:tblLayout w:type="fixed"/>
        <w:tblInd w:w="792" w:type="dxa"/>
        <w:tblCellMar>
          <w:top w:w="0" w:type="dxa"/>
          <w:left w:w="0" w:type="dxa"/>
          <w:bottom w:w="0" w:type="dxa"/>
          <w:right w:w="0" w:type="dxa"/>
        </w:tblCellMar>
      </w:tblPr>
      <w:tr>
        <w:trPr>
          <w:trHeight w:val="234"/>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Pr>
          <w:p>
            <w:pPr>
              <w:spacing w:after="0"/>
              <w:rPr>
                <w:sz w:val="20"/>
                <w:szCs w:val="20"/>
                <w:color w:val="auto"/>
              </w:rPr>
            </w:pP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165,819 shares of Common Stock (2)</w:t>
            </w:r>
          </w:p>
        </w:tc>
        <w:tc>
          <w:tcPr>
            <w:tcW w:w="0" w:type="dxa"/>
            <w:vAlign w:val="bottom"/>
          </w:tcPr>
          <w:p>
            <w:pPr>
              <w:spacing w:after="0"/>
              <w:rPr>
                <w:sz w:val="1"/>
                <w:szCs w:val="1"/>
                <w:color w:val="auto"/>
              </w:rPr>
            </w:pPr>
          </w:p>
        </w:tc>
      </w:tr>
      <w:tr>
        <w:trPr>
          <w:trHeight w:val="189"/>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Borders>
              <w:bottom w:val="single" w:sz="8" w:color="auto"/>
            </w:tcBorders>
          </w:tcPr>
          <w:p>
            <w:pPr>
              <w:spacing w:after="0"/>
              <w:rPr>
                <w:sz w:val="16"/>
                <w:szCs w:val="16"/>
                <w:color w:val="auto"/>
              </w:rPr>
            </w:pPr>
          </w:p>
        </w:tc>
        <w:tc>
          <w:tcPr>
            <w:tcW w:w="8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vMerge w:val="continue"/>
          </w:tcPr>
          <w:p>
            <w:pPr>
              <w:spacing w:after="0"/>
              <w:rPr>
                <w:sz w:val="10"/>
                <w:szCs w:val="10"/>
                <w:color w:val="auto"/>
              </w:rPr>
            </w:pPr>
          </w:p>
        </w:tc>
        <w:tc>
          <w:tcPr>
            <w:tcW w:w="8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21"/>
                <w:szCs w:val="21"/>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Each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0"/>
        </w:trPr>
        <w:tc>
          <w:tcPr>
            <w:tcW w:w="15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165,819 shares of Common Stock (2)</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8"/>
              </w:rPr>
              <w:t>Person With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32"/>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892" w:hanging="795"/>
        <w:spacing w:after="0"/>
        <w:tabs>
          <w:tab w:leader="none" w:pos="8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b w:val="1"/>
          <w:bCs w:val="1"/>
          <w:color w:val="auto"/>
        </w:rPr>
        <w:t>165,819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92"/>
        <w:spacing w:after="0" w:line="207"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 (3)</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42"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332" w:hanging="332"/>
        <w:spacing w:after="0" w:line="250" w:lineRule="auto"/>
        <w:tabs>
          <w:tab w:leader="none" w:pos="3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by LV Singapore. Lightstone Singapore Associates serves as the general partner of LV Singapore. Messrs. Carusi and Plain and Ms. George, the individual managing directors of Lightstone Singapore Associates, share voting and dispositive power with respect to the shares held of record by LV Singapore, and may be deemed to own beneficially the shares held by LV Singapore.</w:t>
      </w:r>
    </w:p>
    <w:p>
      <w:pPr>
        <w:spacing w:after="0" w:line="1" w:lineRule="exact"/>
        <w:rPr>
          <w:rFonts w:ascii="Times New Roman" w:cs="Times New Roman" w:eastAsia="Times New Roman" w:hAnsi="Times New Roman"/>
          <w:sz w:val="18"/>
          <w:szCs w:val="18"/>
          <w:color w:val="auto"/>
        </w:rPr>
      </w:pPr>
    </w:p>
    <w:p>
      <w:pPr>
        <w:jc w:val="both"/>
        <w:ind w:left="332" w:hanging="332"/>
        <w:spacing w:after="0" w:line="255" w:lineRule="auto"/>
        <w:tabs>
          <w:tab w:leader="none" w:pos="3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-1112520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-1532890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-1952625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421005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6" w:name="page7"/>
    <w:bookmarkEnd w:id="6"/>
    <w:tbl>
      <w:tblPr>
        <w:tblLayout w:type="fixed"/>
        <w:tblInd w:w="92"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254604101</w:t>
            </w: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892" w:hanging="795"/>
        <w:spacing w:after="0"/>
        <w:tabs>
          <w:tab w:leader="none" w:pos="8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Michael A. Carusi</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32" w:hanging="238"/>
        <w:spacing w:after="0" w:line="207" w:lineRule="exact"/>
        <w:tabs>
          <w:tab w:leader="none" w:pos="1132"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52" w:hanging="258"/>
        <w:spacing w:after="0" w:line="207" w:lineRule="exact"/>
        <w:tabs>
          <w:tab w:leader="none" w:pos="1152"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(1)</w:t>
      </w:r>
    </w:p>
    <w:p>
      <w:pPr>
        <w:spacing w:after="0" w:line="22" w:lineRule="exact"/>
        <w:rPr>
          <w:rFonts w:ascii="Times New Roman" w:cs="Times New Roman" w:eastAsia="Times New Roman" w:hAnsi="Times New Roman"/>
          <w:sz w:val="18"/>
          <w:szCs w:val="18"/>
          <w:b w:val="1"/>
          <w:bCs w:val="1"/>
          <w:color w:val="auto"/>
        </w:rPr>
      </w:pPr>
    </w:p>
    <w:p>
      <w:pPr>
        <w:ind w:left="892" w:hanging="795"/>
        <w:spacing w:after="0"/>
        <w:tabs>
          <w:tab w:leader="none" w:pos="8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8"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-533400</wp:posOffset>
            </wp:positionV>
            <wp:extent cx="7132320" cy="265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-1510665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-1090930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92"/>
        <w:spacing w:after="0" w:line="196"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of America</w:t>
      </w:r>
    </w:p>
    <w:p>
      <w:pPr>
        <w:spacing w:after="0" w:line="31" w:lineRule="exact"/>
        <w:rPr>
          <w:rFonts w:ascii="Times New Roman" w:cs="Times New Roman" w:eastAsia="Times New Roman" w:hAnsi="Times New Roman"/>
          <w:sz w:val="18"/>
          <w:szCs w:val="18"/>
          <w:color w:val="auto"/>
        </w:rPr>
      </w:pPr>
    </w:p>
    <w:p>
      <w:pPr>
        <w:ind w:left="3032" w:hanging="559"/>
        <w:spacing w:after="0"/>
        <w:tabs>
          <w:tab w:leader="none" w:pos="303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-550545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tbl>
      <w:tblPr>
        <w:tblLayout w:type="fixed"/>
        <w:tblInd w:w="792" w:type="dxa"/>
        <w:tblCellMar>
          <w:top w:w="0" w:type="dxa"/>
          <w:left w:w="0" w:type="dxa"/>
          <w:bottom w:w="0" w:type="dxa"/>
          <w:right w:w="0" w:type="dxa"/>
        </w:tblCellMar>
      </w:tblPr>
      <w:tr>
        <w:trPr>
          <w:trHeight w:val="234"/>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Pr>
          <w:p>
            <w:pPr>
              <w:spacing w:after="0"/>
              <w:rPr>
                <w:sz w:val="20"/>
                <w:szCs w:val="20"/>
                <w:color w:val="auto"/>
              </w:rPr>
            </w:pP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9"/>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Borders>
              <w:bottom w:val="single" w:sz="8" w:color="auto"/>
            </w:tcBorders>
          </w:tcPr>
          <w:p>
            <w:pPr>
              <w:spacing w:after="0"/>
              <w:rPr>
                <w:sz w:val="16"/>
                <w:szCs w:val="16"/>
                <w:color w:val="auto"/>
              </w:rPr>
            </w:pPr>
          </w:p>
        </w:tc>
        <w:tc>
          <w:tcPr>
            <w:tcW w:w="8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vMerge w:val="continue"/>
          </w:tcPr>
          <w:p>
            <w:pPr>
              <w:spacing w:after="0"/>
              <w:rPr>
                <w:sz w:val="10"/>
                <w:szCs w:val="10"/>
                <w:color w:val="auto"/>
              </w:rPr>
            </w:pPr>
          </w:p>
        </w:tc>
        <w:tc>
          <w:tcPr>
            <w:tcW w:w="8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21"/>
                <w:szCs w:val="21"/>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483,609 shares of Common Stock (2)</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Each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0"/>
        </w:trPr>
        <w:tc>
          <w:tcPr>
            <w:tcW w:w="15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8"/>
              </w:rPr>
              <w:t>Person With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32"/>
        <w:spacing w:after="0"/>
        <w:rPr>
          <w:sz w:val="20"/>
          <w:szCs w:val="20"/>
          <w:color w:val="auto"/>
        </w:rPr>
      </w:pPr>
      <w:r>
        <w:rPr>
          <w:rFonts w:ascii="Times New Roman" w:cs="Times New Roman" w:eastAsia="Times New Roman" w:hAnsi="Times New Roman"/>
          <w:sz w:val="18"/>
          <w:szCs w:val="18"/>
          <w:b w:val="1"/>
          <w:bCs w:val="1"/>
          <w:color w:val="auto"/>
        </w:rPr>
        <w:t>483,609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892" w:hanging="795"/>
        <w:spacing w:after="0"/>
        <w:tabs>
          <w:tab w:leader="none" w:pos="8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b w:val="1"/>
          <w:bCs w:val="1"/>
          <w:color w:val="auto"/>
        </w:rPr>
        <w:t>483,609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92"/>
        <w:spacing w:after="0" w:line="207"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 (3)</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42"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332" w:hanging="332"/>
        <w:spacing w:after="0" w:line="250" w:lineRule="auto"/>
        <w:tabs>
          <w:tab w:leader="none" w:pos="3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as follows: (i) 279,686 by LV LP, (ii) 38,104 by LV(A) LP and (iii) 165,819 by LV Singapore. LSV Associates serves as the general partner of LV LP and LV(A) LP. LSV Singapore Associates serves as the general partner of LV Singapore. Messrs. Carusi and Plain and Ms. George, the individual managing directors of LSV Associates and LV Singapore Associates, share voting and dispositive power with respect to the shares held of record by LV LP, LV(A) LP and LV Singapore.</w:t>
      </w:r>
    </w:p>
    <w:p>
      <w:pPr>
        <w:spacing w:after="0" w:line="1" w:lineRule="exact"/>
        <w:rPr>
          <w:rFonts w:ascii="Times New Roman" w:cs="Times New Roman" w:eastAsia="Times New Roman" w:hAnsi="Times New Roman"/>
          <w:sz w:val="18"/>
          <w:szCs w:val="18"/>
          <w:color w:val="auto"/>
        </w:rPr>
      </w:pPr>
    </w:p>
    <w:p>
      <w:pPr>
        <w:jc w:val="both"/>
        <w:ind w:left="332" w:hanging="332"/>
        <w:spacing w:after="0" w:line="255" w:lineRule="auto"/>
        <w:tabs>
          <w:tab w:leader="none" w:pos="3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-1249680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-1670050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-2089785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421005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7" w:name="page8"/>
    <w:bookmarkEnd w:id="7"/>
    <w:tbl>
      <w:tblPr>
        <w:tblLayout w:type="fixed"/>
        <w:tblInd w:w="92"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254604101</w:t>
            </w: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892" w:hanging="795"/>
        <w:spacing w:after="0"/>
        <w:tabs>
          <w:tab w:leader="none" w:pos="8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Jean M. George</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32" w:hanging="238"/>
        <w:spacing w:after="0" w:line="207" w:lineRule="exact"/>
        <w:tabs>
          <w:tab w:leader="none" w:pos="1132"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52" w:hanging="258"/>
        <w:spacing w:after="0" w:line="207" w:lineRule="exact"/>
        <w:tabs>
          <w:tab w:leader="none" w:pos="1152" w:val="left"/>
        </w:tabs>
        <w:numPr>
          <w:ilvl w:val="1"/>
          <w:numId w:val="3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(1)</w:t>
      </w:r>
    </w:p>
    <w:p>
      <w:pPr>
        <w:spacing w:after="0" w:line="22" w:lineRule="exact"/>
        <w:rPr>
          <w:rFonts w:ascii="Times New Roman" w:cs="Times New Roman" w:eastAsia="Times New Roman" w:hAnsi="Times New Roman"/>
          <w:sz w:val="18"/>
          <w:szCs w:val="18"/>
          <w:b w:val="1"/>
          <w:bCs w:val="1"/>
          <w:color w:val="auto"/>
        </w:rPr>
      </w:pPr>
    </w:p>
    <w:p>
      <w:pPr>
        <w:ind w:left="892" w:hanging="795"/>
        <w:spacing w:after="0"/>
        <w:tabs>
          <w:tab w:leader="none" w:pos="8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8"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257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-533400</wp:posOffset>
            </wp:positionV>
            <wp:extent cx="7132320" cy="265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-1510665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-1090930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92"/>
        <w:spacing w:after="0" w:line="196"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of America</w:t>
      </w:r>
    </w:p>
    <w:p>
      <w:pPr>
        <w:spacing w:after="0" w:line="31" w:lineRule="exact"/>
        <w:rPr>
          <w:rFonts w:ascii="Times New Roman" w:cs="Times New Roman" w:eastAsia="Times New Roman" w:hAnsi="Times New Roman"/>
          <w:sz w:val="18"/>
          <w:szCs w:val="18"/>
          <w:color w:val="auto"/>
        </w:rPr>
      </w:pPr>
    </w:p>
    <w:p>
      <w:pPr>
        <w:ind w:left="3032" w:hanging="559"/>
        <w:spacing w:after="0"/>
        <w:tabs>
          <w:tab w:leader="none" w:pos="303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-550545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tbl>
      <w:tblPr>
        <w:tblLayout w:type="fixed"/>
        <w:tblInd w:w="792" w:type="dxa"/>
        <w:tblCellMar>
          <w:top w:w="0" w:type="dxa"/>
          <w:left w:w="0" w:type="dxa"/>
          <w:bottom w:w="0" w:type="dxa"/>
          <w:right w:w="0" w:type="dxa"/>
        </w:tblCellMar>
      </w:tblPr>
      <w:tr>
        <w:trPr>
          <w:trHeight w:val="234"/>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Pr>
          <w:p>
            <w:pPr>
              <w:spacing w:after="0"/>
              <w:rPr>
                <w:sz w:val="20"/>
                <w:szCs w:val="20"/>
                <w:color w:val="auto"/>
              </w:rPr>
            </w:pP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9"/>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Borders>
              <w:bottom w:val="single" w:sz="8" w:color="auto"/>
            </w:tcBorders>
          </w:tcPr>
          <w:p>
            <w:pPr>
              <w:spacing w:after="0"/>
              <w:rPr>
                <w:sz w:val="16"/>
                <w:szCs w:val="16"/>
                <w:color w:val="auto"/>
              </w:rPr>
            </w:pPr>
          </w:p>
        </w:tc>
        <w:tc>
          <w:tcPr>
            <w:tcW w:w="8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vMerge w:val="continue"/>
          </w:tcPr>
          <w:p>
            <w:pPr>
              <w:spacing w:after="0"/>
              <w:rPr>
                <w:sz w:val="10"/>
                <w:szCs w:val="10"/>
                <w:color w:val="auto"/>
              </w:rPr>
            </w:pPr>
          </w:p>
        </w:tc>
        <w:tc>
          <w:tcPr>
            <w:tcW w:w="8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21"/>
                <w:szCs w:val="21"/>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483,609 shares of Common Stock (2)</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Each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0"/>
        </w:trPr>
        <w:tc>
          <w:tcPr>
            <w:tcW w:w="15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8"/>
              </w:rPr>
              <w:t>Person With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32"/>
        <w:spacing w:after="0"/>
        <w:rPr>
          <w:sz w:val="20"/>
          <w:szCs w:val="20"/>
          <w:color w:val="auto"/>
        </w:rPr>
      </w:pPr>
      <w:r>
        <w:rPr>
          <w:rFonts w:ascii="Times New Roman" w:cs="Times New Roman" w:eastAsia="Times New Roman" w:hAnsi="Times New Roman"/>
          <w:sz w:val="18"/>
          <w:szCs w:val="18"/>
          <w:b w:val="1"/>
          <w:bCs w:val="1"/>
          <w:color w:val="auto"/>
        </w:rPr>
        <w:t>483,609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892" w:hanging="795"/>
        <w:spacing w:after="0"/>
        <w:tabs>
          <w:tab w:leader="none" w:pos="8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b w:val="1"/>
          <w:bCs w:val="1"/>
          <w:color w:val="auto"/>
        </w:rPr>
        <w:t>483,609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92"/>
        <w:spacing w:after="0" w:line="207"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 (3)</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42"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332" w:hanging="332"/>
        <w:spacing w:after="0" w:line="250" w:lineRule="auto"/>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as follows: (i) 279,686 by LV LP, (ii) 38,104 by LV(A) LP and (iii) 165,819 by LV Singapore. LSV Associates serves as the general partner of LV LP and LV(A) LP. LSV Singapore Associates serves as the general partner of LV Singapore. Messrs. Carusi and Plain and Ms. George, the individual managing directors of LSV Associates and LV Singapore Associates, share voting and dispositive power with respect to the shares held of record by LV LP, LV(A) LP and LV Singapore.</w:t>
      </w:r>
    </w:p>
    <w:p>
      <w:pPr>
        <w:spacing w:after="0" w:line="1" w:lineRule="exact"/>
        <w:rPr>
          <w:rFonts w:ascii="Times New Roman" w:cs="Times New Roman" w:eastAsia="Times New Roman" w:hAnsi="Times New Roman"/>
          <w:sz w:val="18"/>
          <w:szCs w:val="18"/>
          <w:color w:val="auto"/>
        </w:rPr>
      </w:pPr>
    </w:p>
    <w:p>
      <w:pPr>
        <w:jc w:val="both"/>
        <w:ind w:left="332" w:hanging="332"/>
        <w:spacing w:after="0" w:line="255" w:lineRule="auto"/>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-1249680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-1670050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-2089785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421005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8" w:name="page9"/>
    <w:bookmarkEnd w:id="8"/>
    <w:tbl>
      <w:tblPr>
        <w:tblLayout w:type="fixed"/>
        <w:tblInd w:w="92"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254604101</w:t>
            </w: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892" w:hanging="795"/>
        <w:spacing w:after="0"/>
        <w:tabs>
          <w:tab w:leader="none" w:pos="8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Henry A. Plain, Jr.</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1" w:lineRule="exact"/>
        <w:rPr>
          <w:rFonts w:ascii="Times New Roman" w:cs="Times New Roman" w:eastAsia="Times New Roman" w:hAnsi="Times New Roman"/>
          <w:sz w:val="18"/>
          <w:szCs w:val="18"/>
          <w:color w:val="auto"/>
        </w:rPr>
      </w:pPr>
    </w:p>
    <w:p>
      <w:pPr>
        <w:ind w:left="1132" w:hanging="238"/>
        <w:spacing w:after="0" w:line="207" w:lineRule="exact"/>
        <w:tabs>
          <w:tab w:leader="none" w:pos="1132" w:val="left"/>
        </w:tabs>
        <w:numPr>
          <w:ilvl w:val="1"/>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152" w:hanging="258"/>
        <w:spacing w:after="0" w:line="207" w:lineRule="exact"/>
        <w:tabs>
          <w:tab w:leader="none" w:pos="1152" w:val="left"/>
        </w:tabs>
        <w:numPr>
          <w:ilvl w:val="1"/>
          <w:numId w:val="3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(1)</w:t>
      </w:r>
    </w:p>
    <w:p>
      <w:pPr>
        <w:spacing w:after="0" w:line="22" w:lineRule="exact"/>
        <w:rPr>
          <w:rFonts w:ascii="Times New Roman" w:cs="Times New Roman" w:eastAsia="Times New Roman" w:hAnsi="Times New Roman"/>
          <w:sz w:val="18"/>
          <w:szCs w:val="18"/>
          <w:b w:val="1"/>
          <w:bCs w:val="1"/>
          <w:color w:val="auto"/>
        </w:rPr>
      </w:pPr>
    </w:p>
    <w:p>
      <w:pPr>
        <w:ind w:left="892" w:hanging="795"/>
        <w:spacing w:after="0"/>
        <w:tabs>
          <w:tab w:leader="none" w:pos="8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8"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257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-533400</wp:posOffset>
            </wp:positionV>
            <wp:extent cx="7132320" cy="265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-1510665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-1090930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92"/>
        <w:spacing w:after="0" w:line="196"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of America</w:t>
      </w:r>
    </w:p>
    <w:p>
      <w:pPr>
        <w:spacing w:after="0" w:line="31" w:lineRule="exact"/>
        <w:rPr>
          <w:rFonts w:ascii="Times New Roman" w:cs="Times New Roman" w:eastAsia="Times New Roman" w:hAnsi="Times New Roman"/>
          <w:sz w:val="18"/>
          <w:szCs w:val="18"/>
          <w:color w:val="auto"/>
        </w:rPr>
      </w:pPr>
    </w:p>
    <w:p>
      <w:pPr>
        <w:ind w:left="3032" w:hanging="559"/>
        <w:spacing w:after="0"/>
        <w:tabs>
          <w:tab w:leader="none" w:pos="303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-550545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tbl>
      <w:tblPr>
        <w:tblLayout w:type="fixed"/>
        <w:tblInd w:w="792" w:type="dxa"/>
        <w:tblCellMar>
          <w:top w:w="0" w:type="dxa"/>
          <w:left w:w="0" w:type="dxa"/>
          <w:bottom w:w="0" w:type="dxa"/>
          <w:right w:w="0" w:type="dxa"/>
        </w:tblCellMar>
      </w:tblPr>
      <w:tr>
        <w:trPr>
          <w:trHeight w:val="234"/>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Pr>
          <w:p>
            <w:pPr>
              <w:spacing w:after="0"/>
              <w:rPr>
                <w:sz w:val="20"/>
                <w:szCs w:val="20"/>
                <w:color w:val="auto"/>
              </w:rPr>
            </w:pP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9"/>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Borders>
              <w:bottom w:val="single" w:sz="8" w:color="auto"/>
            </w:tcBorders>
          </w:tcPr>
          <w:p>
            <w:pPr>
              <w:spacing w:after="0"/>
              <w:rPr>
                <w:sz w:val="16"/>
                <w:szCs w:val="16"/>
                <w:color w:val="auto"/>
              </w:rPr>
            </w:pPr>
          </w:p>
        </w:tc>
        <w:tc>
          <w:tcPr>
            <w:tcW w:w="8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vMerge w:val="continue"/>
          </w:tcPr>
          <w:p>
            <w:pPr>
              <w:spacing w:after="0"/>
              <w:rPr>
                <w:sz w:val="10"/>
                <w:szCs w:val="10"/>
                <w:color w:val="auto"/>
              </w:rPr>
            </w:pPr>
          </w:p>
        </w:tc>
        <w:tc>
          <w:tcPr>
            <w:tcW w:w="8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21"/>
                <w:szCs w:val="21"/>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483,609 shares of Common Stock (2)</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Each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0"/>
        </w:trPr>
        <w:tc>
          <w:tcPr>
            <w:tcW w:w="15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8"/>
        </w:trPr>
        <w:tc>
          <w:tcPr>
            <w:tcW w:w="158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8"/>
              </w:rPr>
              <w:t>Person With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32"/>
        <w:spacing w:after="0"/>
        <w:rPr>
          <w:sz w:val="20"/>
          <w:szCs w:val="20"/>
          <w:color w:val="auto"/>
        </w:rPr>
      </w:pPr>
      <w:r>
        <w:rPr>
          <w:rFonts w:ascii="Times New Roman" w:cs="Times New Roman" w:eastAsia="Times New Roman" w:hAnsi="Times New Roman"/>
          <w:sz w:val="18"/>
          <w:szCs w:val="18"/>
          <w:b w:val="1"/>
          <w:bCs w:val="1"/>
          <w:color w:val="auto"/>
        </w:rPr>
        <w:t>483,609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892" w:hanging="795"/>
        <w:spacing w:after="0"/>
        <w:tabs>
          <w:tab w:leader="none" w:pos="8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b w:val="1"/>
          <w:bCs w:val="1"/>
          <w:color w:val="auto"/>
        </w:rPr>
        <w:t>483,609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92"/>
        <w:spacing w:after="0" w:line="207" w:lineRule="exact"/>
        <w:tabs>
          <w:tab w:leader="none" w:pos="872" w:val="left"/>
          <w:tab w:leader="none" w:pos="10572"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193" w:lineRule="exact"/>
        <w:rPr>
          <w:sz w:val="20"/>
          <w:szCs w:val="20"/>
          <w:color w:val="auto"/>
        </w:rPr>
      </w:pPr>
    </w:p>
    <w:p>
      <w:pPr>
        <w:ind w:left="892" w:hanging="795"/>
        <w:spacing w:after="0"/>
        <w:tabs>
          <w:tab w:leader="none" w:pos="8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 (3)</w:t>
      </w:r>
    </w:p>
    <w:p>
      <w:pPr>
        <w:spacing w:after="0" w:line="31" w:lineRule="exact"/>
        <w:rPr>
          <w:rFonts w:ascii="Times New Roman" w:cs="Times New Roman" w:eastAsia="Times New Roman" w:hAnsi="Times New Roman"/>
          <w:sz w:val="18"/>
          <w:szCs w:val="18"/>
          <w:color w:val="auto"/>
        </w:rPr>
      </w:pPr>
    </w:p>
    <w:p>
      <w:pPr>
        <w:ind w:left="892" w:hanging="795"/>
        <w:spacing w:after="0"/>
        <w:tabs>
          <w:tab w:leader="none" w:pos="8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6" w:lineRule="exact"/>
        <w:rPr>
          <w:rFonts w:ascii="Times New Roman" w:cs="Times New Roman" w:eastAsia="Times New Roman" w:hAnsi="Times New Roman"/>
          <w:sz w:val="18"/>
          <w:szCs w:val="18"/>
          <w:color w:val="auto"/>
        </w:rPr>
      </w:pPr>
    </w:p>
    <w:p>
      <w:pPr>
        <w:ind w:left="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42"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w:t>
      </w:r>
    </w:p>
    <w:p>
      <w:pPr>
        <w:spacing w:after="0" w:line="27" w:lineRule="exact"/>
        <w:rPr>
          <w:rFonts w:ascii="Times New Roman" w:cs="Times New Roman" w:eastAsia="Times New Roman" w:hAnsi="Times New Roman"/>
          <w:sz w:val="18"/>
          <w:szCs w:val="18"/>
          <w:color w:val="auto"/>
        </w:rPr>
      </w:pPr>
    </w:p>
    <w:p>
      <w:pPr>
        <w:jc w:val="both"/>
        <w:ind w:left="332" w:hanging="332"/>
        <w:spacing w:after="0" w:line="250" w:lineRule="auto"/>
        <w:tabs>
          <w:tab w:leader="none" w:pos="3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as follows: (i) 279,686 by LV LP, (ii) 38,104 by LV(A) LP and (iii) 165,819 by LV Singapore. LSV Associates serves as the general partner of LV LP and LV(A) LP. LSV Singapore Associates serves as the general partner of LV Singapore. Messrs. Carusi and Plain and Ms. George, the individual managing directors of LSV Associates and LV Singapore Associates, share voting and dispositive power with respect to the shares held of record by LV LP, LV(A) LP and LV Singapore.</w:t>
      </w:r>
    </w:p>
    <w:p>
      <w:pPr>
        <w:spacing w:after="0" w:line="1" w:lineRule="exact"/>
        <w:rPr>
          <w:rFonts w:ascii="Times New Roman" w:cs="Times New Roman" w:eastAsia="Times New Roman" w:hAnsi="Times New Roman"/>
          <w:sz w:val="18"/>
          <w:szCs w:val="18"/>
          <w:color w:val="auto"/>
        </w:rPr>
      </w:pPr>
    </w:p>
    <w:p>
      <w:pPr>
        <w:jc w:val="both"/>
        <w:ind w:left="332" w:hanging="332"/>
        <w:spacing w:after="0" w:line="255" w:lineRule="auto"/>
        <w:tabs>
          <w:tab w:leader="none" w:pos="3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-1249680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-1670050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-2089785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421005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1 to Schedule 13D (“Amendment No. 1”) is being filed as an amendment to the statement on Schedule 13D relating to common stock, par value $0.0001 per share of Disc Medicine, Inc., a Delaware corporation, as filed with the Securities and Exchange Commission (the “SEC”) on February 16, 2021 (the “Prior Schedule 13D”). All capitalized terms not otherwise defined herein shall have the meanings ascribed to the terms in the Prior Schedule 13D. The Prior Schedule 13D is hereby amended and supplemented as follows and, except as expressly amended below, the Prior Schedule 13D remains in full force and effect.</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of equity securities to which this Schedule 13D relates is common stock, par value $0.0001 per share (the “Common Stock”) of Disc Medicine, Inc. (f/k/a Gemini Therapeutics, Inc.), a Delaware corporation (the “Issuer” or “Disc”). The principal executive offices of the Issuer are located at 321 Arsenal Street, Suite 101, Watertown, MA 02472.</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4 of the Original Schedule 13D is hereby amended and supplemented by adding the following at the end of Item 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2022, the Issuer effected a 10:1 reverse stock split of its Common Stock (the “Reverse Stock Split”) As a result of the Reverse Stock Split, the number of issued and outstanding shares of Common Stock immediately prior to the Reverse Stock Split was reduced to a smaller number of shares, such that every 10 shares of Common Stock held by a stockholder immediately prior to the Reverse Stock Split, including shares of the Common Stock issued to stockholders of Old Disc (as defined below) in connection with the Disc Merger (as defined below), were combined and reclassified into one share of the Common Stock.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2022, the Issuer completed the transactions contemplated by the Agreement and Plan of Merger and Reorganization, dated as of August 9, 2022 (the “Disc Merger Agreement”), by and among the Issuer, Disc Medicine, Inc., a Delaware corporation, (“Old Disc”) and Gemstone Merger Sub, Inc., a Delaware corporation and a wholly owned subsidiary of the Issuer (“Merger Sub”), pursuant to which, among other matters, Merger Sub merged with and into Old Disc, with Old Disc continuing as a wholly owned subsidiary of us and the surviving corporation of the Disc Merger Agreement (the “Disc Merger”). In connection with the closing of the Disc Merger Agreement, the Issuer changed its name to Disc Medicine, Inc.</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connection with the Disc Merger, each pre-merger stockholder of the Issuer received a contingent value right (“CVR”) for each pre-merger share of the Issuer’s Common Stock it owned at the time of the Disc Merger, pursuant to the CVR Agreement (as defined in Item 6 below). The Reporting Persons that were holders of Common Stock prior the Disc Merger received an aggregate of 483,609 CVRs, as follows:</w:t>
      </w:r>
    </w:p>
    <w:p>
      <w:pPr>
        <w:spacing w:after="0" w:line="176"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LV LP: 279,686 CVRs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LV(A) LP: 38,104 CVRs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LV Singapore: 165,819 CVRs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Ms. George’s service on the board of directors ended on September 29, 2021 upon the expiration of her term as a director concurrently with the Issuer’s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5 of the Original Schedule 13D is hereby amended and restated as follows: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 The following information with respect to the ownership of the Common Stock of the Issuer by the Reporting Persons filing this Statement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13D is provided as of the date of this filing: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38"/>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Reporting Persons</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Directly (1)</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Power</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(3)</w:t>
            </w:r>
          </w:p>
        </w:tc>
        <w:tc>
          <w:tcPr>
            <w:tcW w:w="160" w:type="dxa"/>
            <w:vAlign w:val="bottom"/>
            <w:tcBorders>
              <w:bottom w:val="single" w:sz="8" w:color="CCEEFF"/>
            </w:tcBorders>
          </w:tcPr>
          <w:p>
            <w:pPr>
              <w:spacing w:after="0"/>
              <w:rPr>
                <w:sz w:val="20"/>
                <w:szCs w:val="20"/>
                <w:color w:val="auto"/>
              </w:rPr>
            </w:pPr>
          </w:p>
        </w:tc>
      </w:tr>
      <w:tr>
        <w:trPr>
          <w:trHeight w:val="20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279,686</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LV(A) LP</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38,104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38,104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38,104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38,104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LSV Associates (2)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317,790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317,790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317,790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LV Singapore LP</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165,819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165,819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165,819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165,819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Lightstone Singapore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Associates (2)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165,819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165,819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165,819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 Carusi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483,609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483,609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483,609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M. George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483,609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483,609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483,609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A. Plain, Jr.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483,609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483,609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483,609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6" w:lineRule="exact"/>
        <w:rPr>
          <w:sz w:val="20"/>
          <w:szCs w:val="20"/>
          <w:color w:val="auto"/>
        </w:rPr>
      </w:pPr>
    </w:p>
    <w:p>
      <w:pPr>
        <w:ind w:left="660" w:hanging="490"/>
        <w:spacing w:after="0"/>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Common Stock currently underlying all Securities held by the Reporting Persons.</w:t>
      </w:r>
    </w:p>
    <w:p>
      <w:pPr>
        <w:spacing w:after="0" w:line="27" w:lineRule="exact"/>
        <w:rPr>
          <w:rFonts w:ascii="Times New Roman" w:cs="Times New Roman" w:eastAsia="Times New Roman" w:hAnsi="Times New Roman"/>
          <w:sz w:val="18"/>
          <w:szCs w:val="18"/>
          <w:color w:val="auto"/>
        </w:rPr>
      </w:pPr>
    </w:p>
    <w:p>
      <w:pPr>
        <w:jc w:val="both"/>
        <w:ind w:left="660" w:hanging="490"/>
        <w:spacing w:after="0" w:line="250"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LSV Associates serves as the general partner of LV LP and LV(A) LP. Lightstone Singapore Associates serves as the general partner of LV Singapore. Messrs. Carusi and Plain and Ms. George, the individual managing directors of LSV Associates and Lightstone Singapore Associates, share voting and dispositive power with respect to the shares held of record by LV LP, LV(A) LP and LV Singapore, and may be deemed to own beneficially the shares held by LV LP, LV(A) LP and LV Singapore.</w:t>
      </w:r>
    </w:p>
    <w:p>
      <w:pPr>
        <w:spacing w:after="0" w:line="1" w:lineRule="exact"/>
        <w:rPr>
          <w:rFonts w:ascii="Times New Roman" w:cs="Times New Roman" w:eastAsia="Times New Roman" w:hAnsi="Times New Roman"/>
          <w:sz w:val="18"/>
          <w:szCs w:val="18"/>
          <w:color w:val="auto"/>
        </w:rPr>
      </w:pPr>
    </w:p>
    <w:p>
      <w:pPr>
        <w:jc w:val="both"/>
        <w:ind w:left="660" w:hanging="490"/>
        <w:spacing w:after="0" w:line="255"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18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none of the Reporting Persons have purchased or sold any shares of Common Stock during the past 60 days.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is known by the Reporting Persons to have the right to receive or the power to direct the receipt of dividends from, or the proceeds from the sale of, the shares of Common Stock beneficially owned by the Reporting Persons.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ceased to beneficially own greater than 5% of the outstanding Common Stock effective upon the completion of the Disc Merger on December 29, 2022.</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6 of the Original Schedule 13D is hereby amended and supplemented by adding the following at the end of Item 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29, 2022, prior to the effective time of the Disc Merger, the Issuer entered into a Contingent Value Rights Agreement (the “CVR Agreement”) with a rights agent (“Rights Agent”) pursuant to which the Issuer’s pre-Merger common stockholders received one contingent value right (each, a “CVR”) for each outstanding share of Issuer common stock held by such stockholder on December 29, 2022. Each CVR represents the contractual right to receive payments, in the form of shares of stock of the Issuer, upon the actual receipt by the Issuer or its affiliates of certain proceeds derived from consideration paid to the Issuer as a result of the disposition of the Issuer’s pre-Merger legacy assets, net of certain expenses and other deductions. Any payments under the CVR Agreement will be in the form of shares of the Issuer, determined on the basis of a volume weighted average for the five (5) trading days prior to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payment of any Company shares will be made or that any holders of CVRs will receive any amounts with respect thereto.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 to the contingent payments contemplated by the CVR Agreement is a contractual right only and will not be transferable, except in the limited circumstances specified in the CVR Agreement. The CVRs are not evidenced by a certificate or any other instrument and will not be registered with the SEC. The CVRs do not have any voting or dividend rights and do not represent any equity or ownership interest in the Issuer or any of its affiliates. No interest will accrue on any amounts payable in respect of the CVRs.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CVR Agreement is qualified in its entirety by reference to the full text of the agreement, which is filed as an exhibit hereto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Agreement regarding filing of joint Schedule 13D</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          Contingent Value Rights Agreement (Incorporated by reference to Exhibit 10.2 to the Issuer’s Form 8-K (SEC File No. 001-39438), filed with the Securities and Exchange Commission on December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February 14,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entures</w:t>
      </w:r>
      <w:r>
        <w:rPr>
          <w:rFonts w:ascii="Times New Roman" w:cs="Times New Roman" w:eastAsia="Times New Roman" w:hAnsi="Times New Roman"/>
          <w:sz w:val="18"/>
          <w:szCs w:val="18"/>
          <w:color w:val="auto"/>
        </w:rPr>
        <w: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entures</w:t>
      </w:r>
      <w:r>
        <w:rPr>
          <w:rFonts w:ascii="Times New Roman" w:cs="Times New Roman" w:eastAsia="Times New Roman" w:hAnsi="Times New Roman"/>
          <w:sz w:val="18"/>
          <w:szCs w:val="18"/>
          <w:color w:val="auto"/>
        </w:rPr>
        <w:t xml:space="preserve"> (A), L.P.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LLC</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580" w:type="dxa"/>
            <w:vAlign w:val="bottom"/>
          </w:tcPr>
          <w:p>
            <w:pPr>
              <w:spacing w:after="0"/>
              <w:rPr>
                <w:sz w:val="19"/>
                <w:szCs w:val="19"/>
                <w:color w:val="auto"/>
              </w:rPr>
            </w:pPr>
          </w:p>
        </w:tc>
        <w:tc>
          <w:tcPr>
            <w:tcW w:w="5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LSV A</w:t>
            </w:r>
            <w:r>
              <w:rPr>
                <w:rFonts w:ascii="Times New Roman" w:cs="Times New Roman" w:eastAsia="Times New Roman" w:hAnsi="Times New Roman"/>
                <w:sz w:val="12"/>
                <w:szCs w:val="12"/>
                <w:color w:val="auto"/>
              </w:rPr>
              <w:t>ssociates</w:t>
            </w:r>
            <w:r>
              <w:rPr>
                <w:rFonts w:ascii="Times New Roman" w:cs="Times New Roman" w:eastAsia="Times New Roman" w:hAnsi="Times New Roman"/>
                <w:sz w:val="18"/>
                <w:szCs w:val="18"/>
                <w:color w:val="auto"/>
              </w:rPr>
              <w:t>,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580" w:type="dxa"/>
            <w:vAlign w:val="bottom"/>
          </w:tcPr>
          <w:p>
            <w:pPr>
              <w:spacing w:after="0"/>
              <w:rPr>
                <w:sz w:val="19"/>
                <w:szCs w:val="19"/>
                <w:color w:val="auto"/>
              </w:rPr>
            </w:pPr>
          </w:p>
        </w:tc>
        <w:tc>
          <w:tcPr>
            <w:tcW w:w="5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ingapore</w:t>
            </w:r>
            <w:r>
              <w:rPr>
                <w:rFonts w:ascii="Times New Roman" w:cs="Times New Roman" w:eastAsia="Times New Roman" w:hAnsi="Times New Roman"/>
                <w:sz w:val="18"/>
                <w:szCs w:val="18"/>
                <w:color w:val="auto"/>
              </w:rPr>
              <w:t>, L.P.</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Lightstone Singapore Associates, LLC</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580" w:type="dxa"/>
            <w:vAlign w:val="bottom"/>
          </w:tcPr>
          <w:p>
            <w:pPr>
              <w:spacing w:after="0"/>
              <w:rPr>
                <w:sz w:val="19"/>
                <w:szCs w:val="19"/>
                <w:color w:val="auto"/>
              </w:rPr>
            </w:pPr>
          </w:p>
        </w:tc>
        <w:tc>
          <w:tcPr>
            <w:tcW w:w="5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ingapore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ssociates</w:t>
            </w:r>
            <w:r>
              <w:rPr>
                <w:rFonts w:ascii="Times New Roman" w:cs="Times New Roman" w:eastAsia="Times New Roman" w:hAnsi="Times New Roman"/>
                <w:sz w:val="18"/>
                <w:szCs w:val="18"/>
                <w:color w:val="auto"/>
              </w:rPr>
              <w:t>,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580" w:type="dxa"/>
            <w:vAlign w:val="bottom"/>
          </w:tcPr>
          <w:p>
            <w:pPr>
              <w:spacing w:after="0"/>
              <w:rPr>
                <w:sz w:val="19"/>
                <w:szCs w:val="19"/>
                <w:color w:val="auto"/>
              </w:rPr>
            </w:pPr>
          </w:p>
        </w:tc>
        <w:tc>
          <w:tcPr>
            <w:tcW w:w="5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Travis Boettner, Attorney-in-Fact</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Michael A. Carusi</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Jean M. George</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Henry A. Plain, Jr.</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Agreement regarding filing of joint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 the undersigned, hereby express my agreement that the attached Schedule 13D (and any amendments thereto) relating to the Common Stock of Disc Medicine, Inc. is filed on behalf of each of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entures</w:t>
      </w:r>
      <w:r>
        <w:rPr>
          <w:rFonts w:ascii="Times New Roman" w:cs="Times New Roman" w:eastAsia="Times New Roman" w:hAnsi="Times New Roman"/>
          <w:sz w:val="18"/>
          <w:szCs w:val="18"/>
          <w:color w:val="auto"/>
        </w:rPr>
        <w: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entures</w:t>
      </w:r>
      <w:r>
        <w:rPr>
          <w:rFonts w:ascii="Times New Roman" w:cs="Times New Roman" w:eastAsia="Times New Roman" w:hAnsi="Times New Roman"/>
          <w:sz w:val="18"/>
          <w:szCs w:val="18"/>
          <w:color w:val="auto"/>
        </w:rPr>
        <w:t xml:space="preserve"> (A), L.P.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LLC</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580" w:type="dxa"/>
            <w:vAlign w:val="bottom"/>
          </w:tcPr>
          <w:p>
            <w:pPr>
              <w:spacing w:after="0"/>
              <w:rPr>
                <w:sz w:val="19"/>
                <w:szCs w:val="19"/>
                <w:color w:val="auto"/>
              </w:rPr>
            </w:pPr>
          </w:p>
        </w:tc>
        <w:tc>
          <w:tcPr>
            <w:tcW w:w="5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LSV A</w:t>
            </w:r>
            <w:r>
              <w:rPr>
                <w:rFonts w:ascii="Times New Roman" w:cs="Times New Roman" w:eastAsia="Times New Roman" w:hAnsi="Times New Roman"/>
                <w:sz w:val="12"/>
                <w:szCs w:val="12"/>
                <w:color w:val="auto"/>
              </w:rPr>
              <w:t>ssociates</w:t>
            </w:r>
            <w:r>
              <w:rPr>
                <w:rFonts w:ascii="Times New Roman" w:cs="Times New Roman" w:eastAsia="Times New Roman" w:hAnsi="Times New Roman"/>
                <w:sz w:val="18"/>
                <w:szCs w:val="18"/>
                <w:color w:val="auto"/>
              </w:rPr>
              <w:t>,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580" w:type="dxa"/>
            <w:vAlign w:val="bottom"/>
          </w:tcPr>
          <w:p>
            <w:pPr>
              <w:spacing w:after="0"/>
              <w:rPr>
                <w:sz w:val="19"/>
                <w:szCs w:val="19"/>
                <w:color w:val="auto"/>
              </w:rPr>
            </w:pPr>
          </w:p>
        </w:tc>
        <w:tc>
          <w:tcPr>
            <w:tcW w:w="5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ingapore</w:t>
            </w:r>
            <w:r>
              <w:rPr>
                <w:rFonts w:ascii="Times New Roman" w:cs="Times New Roman" w:eastAsia="Times New Roman" w:hAnsi="Times New Roman"/>
                <w:sz w:val="18"/>
                <w:szCs w:val="18"/>
                <w:color w:val="auto"/>
              </w:rPr>
              <w:t>, L.P.</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Lightstone Singapore Associates, LLC</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580" w:type="dxa"/>
            <w:vAlign w:val="bottom"/>
          </w:tcPr>
          <w:p>
            <w:pPr>
              <w:spacing w:after="0"/>
              <w:rPr>
                <w:sz w:val="19"/>
                <w:szCs w:val="19"/>
                <w:color w:val="auto"/>
              </w:rPr>
            </w:pPr>
          </w:p>
        </w:tc>
        <w:tc>
          <w:tcPr>
            <w:tcW w:w="5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ightstone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ingapore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ssociates</w:t>
            </w:r>
            <w:r>
              <w:rPr>
                <w:rFonts w:ascii="Times New Roman" w:cs="Times New Roman" w:eastAsia="Times New Roman" w:hAnsi="Times New Roman"/>
                <w:sz w:val="18"/>
                <w:szCs w:val="18"/>
                <w:color w:val="auto"/>
              </w:rPr>
              <w:t>,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580" w:type="dxa"/>
            <w:vAlign w:val="bottom"/>
          </w:tcPr>
          <w:p>
            <w:pPr>
              <w:spacing w:after="0"/>
              <w:rPr>
                <w:sz w:val="19"/>
                <w:szCs w:val="19"/>
                <w:color w:val="auto"/>
              </w:rPr>
            </w:pPr>
          </w:p>
        </w:tc>
        <w:tc>
          <w:tcPr>
            <w:tcW w:w="5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Travis Boettner, Attorney-in-Fact</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Michael A. Carusi</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Jean M. George</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Henry A. Plain,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2)"/>
      <w:numFmt w:val="lowerLetter"/>
      <w:start w:val="1"/>
    </w:lvl>
  </w:abstractNum>
  <w:abstractNum w:abstractNumId="2">
    <w:nsid w:val="75A2A8D4"/>
    <w:multiLevelType w:val="hybridMultilevel"/>
    <w:lvl w:ilvl="0">
      <w:lvlJc w:val="left"/>
      <w:lvlText w:val="%1."/>
      <w:numFmt w:val="decimal"/>
      <w:start w:val="6"/>
    </w:lvl>
    <w:lvl w:ilvl="1">
      <w:lvlJc w:val="left"/>
      <w:lvlText w:val="%2."/>
      <w:numFmt w:val="decimal"/>
      <w:start w:val="7"/>
    </w:lvl>
  </w:abstractNum>
  <w:abstractNum w:abstractNumId="3">
    <w:nsid w:val="8EDBDAB"/>
    <w:multiLevelType w:val="hybridMultilevel"/>
    <w:lvl w:ilvl="0">
      <w:lvlJc w:val="left"/>
      <w:lvlText w:val="%1."/>
      <w:numFmt w:val="decimal"/>
      <w:start w:val="11"/>
    </w:lvl>
  </w:abstractNum>
  <w:abstractNum w:abstractNumId="4">
    <w:nsid w:val="79838CB2"/>
    <w:multiLevelType w:val="hybridMultilevel"/>
    <w:lvl w:ilvl="0">
      <w:lvlJc w:val="left"/>
      <w:lvlText w:val="%1"/>
      <w:numFmt w:val="decimal"/>
      <w:start w:val="1"/>
    </w:lvl>
    <w:lvl w:ilvl="1">
      <w:lvlJc w:val="left"/>
      <w:lvlText w:val="%2."/>
      <w:numFmt w:val="decimal"/>
      <w:start w:val="13"/>
    </w:lvl>
  </w:abstractNum>
  <w:abstractNum w:abstractNumId="5">
    <w:nsid w:val="4353D0CD"/>
    <w:multiLevelType w:val="hybridMultilevel"/>
    <w:lvl w:ilvl="0">
      <w:lvlJc w:val="left"/>
      <w:lvlText w:val="(%1)"/>
      <w:numFmt w:val="decimal"/>
      <w:start w:val="1"/>
    </w:lvl>
    <w:lvl w:ilvl="1">
      <w:lvlJc w:val="left"/>
      <w:lvlText w:val="%2"/>
      <w:numFmt w:val="decimal"/>
      <w:start w:val="1"/>
    </w:lvl>
  </w:abstractNum>
  <w:abstractNum w:abstractNumId="6">
    <w:nsid w:val="B03E0C6"/>
    <w:multiLevelType w:val="hybridMultilevel"/>
    <w:lvl w:ilvl="0">
      <w:lvlJc w:val="left"/>
      <w:lvlText w:val="%1."/>
      <w:numFmt w:val="decimal"/>
      <w:start w:val="1"/>
    </w:lvl>
    <w:lvl w:ilvl="1">
      <w:lvlJc w:val="left"/>
      <w:lvlText w:val="(%2)"/>
      <w:numFmt w:val="lowerLetter"/>
      <w:start w:val="1"/>
    </w:lvl>
  </w:abstractNum>
  <w:abstractNum w:abstractNumId="7">
    <w:nsid w:val="189A769B"/>
    <w:multiLevelType w:val="hybridMultilevel"/>
    <w:lvl w:ilvl="0">
      <w:lvlJc w:val="left"/>
      <w:lvlText w:val="%1."/>
      <w:numFmt w:val="decimal"/>
      <w:start w:val="6"/>
    </w:lvl>
    <w:lvl w:ilvl="1">
      <w:lvlJc w:val="left"/>
      <w:lvlText w:val="%2."/>
      <w:numFmt w:val="decimal"/>
      <w:start w:val="7"/>
    </w:lvl>
  </w:abstractNum>
  <w:abstractNum w:abstractNumId="8">
    <w:nsid w:val="54E49EB4"/>
    <w:multiLevelType w:val="hybridMultilevel"/>
    <w:lvl w:ilvl="0">
      <w:lvlJc w:val="left"/>
      <w:lvlText w:val="%1."/>
      <w:numFmt w:val="decimal"/>
      <w:start w:val="11"/>
    </w:lvl>
  </w:abstractNum>
  <w:abstractNum w:abstractNumId="9">
    <w:nsid w:val="71F32454"/>
    <w:multiLevelType w:val="hybridMultilevel"/>
    <w:lvl w:ilvl="0">
      <w:lvlJc w:val="left"/>
      <w:lvlText w:val="%1"/>
      <w:numFmt w:val="decimal"/>
      <w:start w:val="1"/>
    </w:lvl>
    <w:lvl w:ilvl="1">
      <w:lvlJc w:val="left"/>
      <w:lvlText w:val="%2."/>
      <w:numFmt w:val="decimal"/>
      <w:start w:val="13"/>
    </w:lvl>
  </w:abstractNum>
  <w:abstractNum w:abstractNumId="10">
    <w:nsid w:val="2CA88611"/>
    <w:multiLevelType w:val="hybridMultilevel"/>
    <w:lvl w:ilvl="0">
      <w:lvlJc w:val="left"/>
      <w:lvlText w:val="(%1)"/>
      <w:numFmt w:val="decimal"/>
      <w:start w:val="1"/>
    </w:lvl>
    <w:lvl w:ilvl="1">
      <w:lvlJc w:val="left"/>
      <w:lvlText w:val="%2"/>
      <w:numFmt w:val="decimal"/>
      <w:start w:val="1"/>
    </w:lvl>
  </w:abstractNum>
  <w:abstractNum w:abstractNumId="11">
    <w:nsid w:val="836C40E"/>
    <w:multiLevelType w:val="hybridMultilevel"/>
    <w:lvl w:ilvl="0">
      <w:lvlJc w:val="left"/>
      <w:lvlText w:val="%1."/>
      <w:numFmt w:val="decimal"/>
      <w:start w:val="1"/>
    </w:lvl>
    <w:lvl w:ilvl="1">
      <w:lvlJc w:val="left"/>
      <w:lvlText w:val="(%2)"/>
      <w:numFmt w:val="lowerLetter"/>
      <w:start w:val="1"/>
    </w:lvl>
  </w:abstractNum>
  <w:abstractNum w:abstractNumId="12">
    <w:nsid w:val="2901D82"/>
    <w:multiLevelType w:val="hybridMultilevel"/>
    <w:lvl w:ilvl="0">
      <w:lvlJc w:val="left"/>
      <w:lvlText w:val="%1."/>
      <w:numFmt w:val="decimal"/>
      <w:start w:val="6"/>
    </w:lvl>
    <w:lvl w:ilvl="1">
      <w:lvlJc w:val="left"/>
      <w:lvlText w:val="%2."/>
      <w:numFmt w:val="decimal"/>
      <w:start w:val="7"/>
    </w:lvl>
  </w:abstractNum>
  <w:abstractNum w:abstractNumId="13">
    <w:nsid w:val="3A95F874"/>
    <w:multiLevelType w:val="hybridMultilevel"/>
    <w:lvl w:ilvl="0">
      <w:lvlJc w:val="left"/>
      <w:lvlText w:val="%1."/>
      <w:numFmt w:val="decimal"/>
      <w:start w:val="11"/>
    </w:lvl>
  </w:abstractNum>
  <w:abstractNum w:abstractNumId="14">
    <w:nsid w:val="8138641"/>
    <w:multiLevelType w:val="hybridMultilevel"/>
    <w:lvl w:ilvl="0">
      <w:lvlJc w:val="left"/>
      <w:lvlText w:val="%1"/>
      <w:numFmt w:val="decimal"/>
      <w:start w:val="1"/>
    </w:lvl>
    <w:lvl w:ilvl="1">
      <w:lvlJc w:val="left"/>
      <w:lvlText w:val="%2."/>
      <w:numFmt w:val="decimal"/>
      <w:start w:val="13"/>
    </w:lvl>
  </w:abstractNum>
  <w:abstractNum w:abstractNumId="15">
    <w:nsid w:val="1E7FF521"/>
    <w:multiLevelType w:val="hybridMultilevel"/>
    <w:lvl w:ilvl="0">
      <w:lvlJc w:val="left"/>
      <w:lvlText w:val="(%1)"/>
      <w:numFmt w:val="decimal"/>
      <w:start w:val="1"/>
    </w:lvl>
    <w:lvl w:ilvl="1">
      <w:lvlJc w:val="left"/>
      <w:lvlText w:val="%2"/>
      <w:numFmt w:val="decimal"/>
      <w:start w:val="1"/>
    </w:lvl>
  </w:abstractNum>
  <w:abstractNum w:abstractNumId="16">
    <w:nsid w:val="7C3DBD3D"/>
    <w:multiLevelType w:val="hybridMultilevel"/>
    <w:lvl w:ilvl="0">
      <w:lvlJc w:val="left"/>
      <w:lvlText w:val="%1."/>
      <w:numFmt w:val="decimal"/>
      <w:start w:val="1"/>
    </w:lvl>
    <w:lvl w:ilvl="1">
      <w:lvlJc w:val="left"/>
      <w:lvlText w:val="(%2)"/>
      <w:numFmt w:val="lowerLetter"/>
      <w:start w:val="1"/>
    </w:lvl>
  </w:abstractNum>
  <w:abstractNum w:abstractNumId="17">
    <w:nsid w:val="737B8DDC"/>
    <w:multiLevelType w:val="hybridMultilevel"/>
    <w:lvl w:ilvl="0">
      <w:lvlJc w:val="left"/>
      <w:lvlText w:val="%1."/>
      <w:numFmt w:val="decimal"/>
      <w:start w:val="6"/>
    </w:lvl>
    <w:lvl w:ilvl="1">
      <w:lvlJc w:val="left"/>
      <w:lvlText w:val="%2."/>
      <w:numFmt w:val="decimal"/>
      <w:start w:val="7"/>
    </w:lvl>
  </w:abstractNum>
  <w:abstractNum w:abstractNumId="18">
    <w:nsid w:val="6CEAF087"/>
    <w:multiLevelType w:val="hybridMultilevel"/>
    <w:lvl w:ilvl="0">
      <w:lvlJc w:val="left"/>
      <w:lvlText w:val="%1."/>
      <w:numFmt w:val="decimal"/>
      <w:start w:val="11"/>
    </w:lvl>
  </w:abstractNum>
  <w:abstractNum w:abstractNumId="19">
    <w:nsid w:val="22221A70"/>
    <w:multiLevelType w:val="hybridMultilevel"/>
    <w:lvl w:ilvl="0">
      <w:lvlJc w:val="left"/>
      <w:lvlText w:val="%1"/>
      <w:numFmt w:val="decimal"/>
      <w:start w:val="1"/>
    </w:lvl>
    <w:lvl w:ilvl="1">
      <w:lvlJc w:val="left"/>
      <w:lvlText w:val="%2."/>
      <w:numFmt w:val="decimal"/>
      <w:start w:val="13"/>
    </w:lvl>
  </w:abstractNum>
  <w:abstractNum w:abstractNumId="20">
    <w:nsid w:val="4516DDE9"/>
    <w:multiLevelType w:val="hybridMultilevel"/>
    <w:lvl w:ilvl="0">
      <w:lvlJc w:val="left"/>
      <w:lvlText w:val="(%1)"/>
      <w:numFmt w:val="decimal"/>
      <w:start w:val="1"/>
    </w:lvl>
    <w:lvl w:ilvl="1">
      <w:lvlJc w:val="left"/>
      <w:lvlText w:val="%2"/>
      <w:numFmt w:val="decimal"/>
      <w:start w:val="1"/>
    </w:lvl>
  </w:abstractNum>
  <w:abstractNum w:abstractNumId="21">
    <w:nsid w:val="3006C83E"/>
    <w:multiLevelType w:val="hybridMultilevel"/>
    <w:lvl w:ilvl="0">
      <w:lvlJc w:val="left"/>
      <w:lvlText w:val="%1."/>
      <w:numFmt w:val="decimal"/>
      <w:start w:val="1"/>
    </w:lvl>
    <w:lvl w:ilvl="1">
      <w:lvlJc w:val="left"/>
      <w:lvlText w:val="(%2)"/>
      <w:numFmt w:val="lowerLetter"/>
      <w:start w:val="1"/>
    </w:lvl>
  </w:abstractNum>
  <w:abstractNum w:abstractNumId="22">
    <w:nsid w:val="614FD4A1"/>
    <w:multiLevelType w:val="hybridMultilevel"/>
    <w:lvl w:ilvl="0">
      <w:lvlJc w:val="left"/>
      <w:lvlText w:val="%1."/>
      <w:numFmt w:val="decimal"/>
      <w:start w:val="6"/>
    </w:lvl>
    <w:lvl w:ilvl="1">
      <w:lvlJc w:val="left"/>
      <w:lvlText w:val="%2."/>
      <w:numFmt w:val="decimal"/>
      <w:start w:val="7"/>
    </w:lvl>
  </w:abstractNum>
  <w:abstractNum w:abstractNumId="23">
    <w:nsid w:val="419AC241"/>
    <w:multiLevelType w:val="hybridMultilevel"/>
    <w:lvl w:ilvl="0">
      <w:lvlJc w:val="left"/>
      <w:lvlText w:val="%1."/>
      <w:numFmt w:val="decimal"/>
      <w:start w:val="11"/>
    </w:lvl>
  </w:abstractNum>
  <w:abstractNum w:abstractNumId="24">
    <w:nsid w:val="5577F8E1"/>
    <w:multiLevelType w:val="hybridMultilevel"/>
    <w:lvl w:ilvl="0">
      <w:lvlJc w:val="left"/>
      <w:lvlText w:val="%1"/>
      <w:numFmt w:val="decimal"/>
      <w:start w:val="1"/>
    </w:lvl>
    <w:lvl w:ilvl="1">
      <w:lvlJc w:val="left"/>
      <w:lvlText w:val="%2."/>
      <w:numFmt w:val="decimal"/>
      <w:start w:val="13"/>
    </w:lvl>
  </w:abstractNum>
  <w:abstractNum w:abstractNumId="25">
    <w:nsid w:val="440BADFC"/>
    <w:multiLevelType w:val="hybridMultilevel"/>
    <w:lvl w:ilvl="0">
      <w:lvlJc w:val="left"/>
      <w:lvlText w:val="(%1)"/>
      <w:numFmt w:val="decimal"/>
      <w:start w:val="1"/>
    </w:lvl>
    <w:lvl w:ilvl="1">
      <w:lvlJc w:val="left"/>
      <w:lvlText w:val="%2"/>
      <w:numFmt w:val="decimal"/>
      <w:start w:val="1"/>
    </w:lvl>
  </w:abstractNum>
  <w:abstractNum w:abstractNumId="26">
    <w:nsid w:val="5072367"/>
    <w:multiLevelType w:val="hybridMultilevel"/>
    <w:lvl w:ilvl="0">
      <w:lvlJc w:val="left"/>
      <w:lvlText w:val="%1."/>
      <w:numFmt w:val="decimal"/>
      <w:start w:val="1"/>
    </w:lvl>
    <w:lvl w:ilvl="1">
      <w:lvlJc w:val="left"/>
      <w:lvlText w:val="(%2)"/>
      <w:numFmt w:val="lowerLetter"/>
      <w:start w:val="1"/>
    </w:lvl>
  </w:abstractNum>
  <w:abstractNum w:abstractNumId="27">
    <w:nsid w:val="3804823E"/>
    <w:multiLevelType w:val="hybridMultilevel"/>
    <w:lvl w:ilvl="0">
      <w:lvlJc w:val="left"/>
      <w:lvlText w:val="%1."/>
      <w:numFmt w:val="decimal"/>
      <w:start w:val="6"/>
    </w:lvl>
    <w:lvl w:ilvl="1">
      <w:lvlJc w:val="left"/>
      <w:lvlText w:val="%2."/>
      <w:numFmt w:val="decimal"/>
      <w:start w:val="7"/>
    </w:lvl>
  </w:abstractNum>
  <w:abstractNum w:abstractNumId="28">
    <w:nsid w:val="77465F01"/>
    <w:multiLevelType w:val="hybridMultilevel"/>
    <w:lvl w:ilvl="0">
      <w:lvlJc w:val="left"/>
      <w:lvlText w:val="%1."/>
      <w:numFmt w:val="decimal"/>
      <w:start w:val="11"/>
    </w:lvl>
  </w:abstractNum>
  <w:abstractNum w:abstractNumId="29">
    <w:nsid w:val="7724C67E"/>
    <w:multiLevelType w:val="hybridMultilevel"/>
    <w:lvl w:ilvl="0">
      <w:lvlJc w:val="left"/>
      <w:lvlText w:val="%1"/>
      <w:numFmt w:val="decimal"/>
      <w:start w:val="1"/>
    </w:lvl>
    <w:lvl w:ilvl="1">
      <w:lvlJc w:val="left"/>
      <w:lvlText w:val="%2."/>
      <w:numFmt w:val="decimal"/>
      <w:start w:val="13"/>
    </w:lvl>
  </w:abstractNum>
  <w:abstractNum w:abstractNumId="30">
    <w:nsid w:val="5C482A97"/>
    <w:multiLevelType w:val="hybridMultilevel"/>
    <w:lvl w:ilvl="0">
      <w:lvlJc w:val="left"/>
      <w:lvlText w:val="(%1)"/>
      <w:numFmt w:val="decimal"/>
      <w:start w:val="1"/>
    </w:lvl>
    <w:lvl w:ilvl="1">
      <w:lvlJc w:val="left"/>
      <w:lvlText w:val="%2"/>
      <w:numFmt w:val="decimal"/>
      <w:start w:val="1"/>
    </w:lvl>
  </w:abstractNum>
  <w:abstractNum w:abstractNumId="31">
    <w:nsid w:val="2463B9EA"/>
    <w:multiLevelType w:val="hybridMultilevel"/>
    <w:lvl w:ilvl="0">
      <w:lvlJc w:val="left"/>
      <w:lvlText w:val="%1."/>
      <w:numFmt w:val="decimal"/>
      <w:start w:val="1"/>
    </w:lvl>
    <w:lvl w:ilvl="1">
      <w:lvlJc w:val="left"/>
      <w:lvlText w:val="(%2)"/>
      <w:numFmt w:val="lowerLetter"/>
      <w:start w:val="1"/>
    </w:lvl>
  </w:abstractNum>
  <w:abstractNum w:abstractNumId="32">
    <w:nsid w:val="5E884ADC"/>
    <w:multiLevelType w:val="hybridMultilevel"/>
    <w:lvl w:ilvl="0">
      <w:lvlJc w:val="left"/>
      <w:lvlText w:val="%1."/>
      <w:numFmt w:val="decimal"/>
      <w:start w:val="6"/>
    </w:lvl>
    <w:lvl w:ilvl="1">
      <w:lvlJc w:val="left"/>
      <w:lvlText w:val="%2."/>
      <w:numFmt w:val="decimal"/>
      <w:start w:val="7"/>
    </w:lvl>
  </w:abstractNum>
  <w:abstractNum w:abstractNumId="33">
    <w:nsid w:val="51EAD36B"/>
    <w:multiLevelType w:val="hybridMultilevel"/>
    <w:lvl w:ilvl="0">
      <w:lvlJc w:val="left"/>
      <w:lvlText w:val="%1."/>
      <w:numFmt w:val="decimal"/>
      <w:start w:val="11"/>
    </w:lvl>
  </w:abstractNum>
  <w:abstractNum w:abstractNumId="34">
    <w:nsid w:val="2D517796"/>
    <w:multiLevelType w:val="hybridMultilevel"/>
    <w:lvl w:ilvl="0">
      <w:lvlJc w:val="left"/>
      <w:lvlText w:val="%1"/>
      <w:numFmt w:val="decimal"/>
      <w:start w:val="1"/>
    </w:lvl>
    <w:lvl w:ilvl="1">
      <w:lvlJc w:val="left"/>
      <w:lvlText w:val="%2."/>
      <w:numFmt w:val="decimal"/>
      <w:start w:val="13"/>
    </w:lvl>
  </w:abstractNum>
  <w:abstractNum w:abstractNumId="35">
    <w:nsid w:val="580BD78F"/>
    <w:multiLevelType w:val="hybridMultilevel"/>
    <w:lvl w:ilvl="0">
      <w:lvlJc w:val="left"/>
      <w:lvlText w:val="(%1)"/>
      <w:numFmt w:val="decimal"/>
      <w:start w:val="1"/>
    </w:lvl>
    <w:lvl w:ilvl="1">
      <w:lvlJc w:val="left"/>
      <w:lvlText w:val="%2"/>
      <w:numFmt w:val="decimal"/>
      <w:start w:val="1"/>
    </w:lvl>
  </w:abstractNum>
  <w:abstractNum w:abstractNumId="36">
    <w:nsid w:val="153EA438"/>
    <w:multiLevelType w:val="hybridMultilevel"/>
    <w:lvl w:ilvl="0">
      <w:lvlJc w:val="left"/>
      <w:lvlText w:val="%1."/>
      <w:numFmt w:val="decimal"/>
      <w:start w:val="1"/>
    </w:lvl>
    <w:lvl w:ilvl="1">
      <w:lvlJc w:val="left"/>
      <w:lvlText w:val="(%2)"/>
      <w:numFmt w:val="lowerLetter"/>
      <w:start w:val="1"/>
    </w:lvl>
  </w:abstractNum>
  <w:abstractNum w:abstractNumId="37">
    <w:nsid w:val="3855585C"/>
    <w:multiLevelType w:val="hybridMultilevel"/>
    <w:lvl w:ilvl="0">
      <w:lvlJc w:val="left"/>
      <w:lvlText w:val="%1."/>
      <w:numFmt w:val="decimal"/>
      <w:start w:val="6"/>
    </w:lvl>
    <w:lvl w:ilvl="1">
      <w:lvlJc w:val="left"/>
      <w:lvlText w:val="%2."/>
      <w:numFmt w:val="decimal"/>
      <w:start w:val="7"/>
    </w:lvl>
  </w:abstractNum>
  <w:abstractNum w:abstractNumId="38">
    <w:nsid w:val="70A64E2A"/>
    <w:multiLevelType w:val="hybridMultilevel"/>
    <w:lvl w:ilvl="0">
      <w:lvlJc w:val="left"/>
      <w:lvlText w:val="%1."/>
      <w:numFmt w:val="decimal"/>
      <w:start w:val="11"/>
    </w:lvl>
  </w:abstractNum>
  <w:abstractNum w:abstractNumId="39">
    <w:nsid w:val="6A2342EC"/>
    <w:multiLevelType w:val="hybridMultilevel"/>
    <w:lvl w:ilvl="0">
      <w:lvlJc w:val="left"/>
      <w:lvlText w:val="%1"/>
      <w:numFmt w:val="decimal"/>
      <w:start w:val="1"/>
    </w:lvl>
    <w:lvl w:ilvl="1">
      <w:lvlJc w:val="left"/>
      <w:lvlText w:val="%2."/>
      <w:numFmt w:val="decimal"/>
      <w:start w:val="13"/>
    </w:lvl>
  </w:abstractNum>
  <w:abstractNum w:abstractNumId="40">
    <w:nsid w:val="2A487CB0"/>
    <w:multiLevelType w:val="hybridMultilevel"/>
    <w:lvl w:ilvl="0">
      <w:lvlJc w:val="left"/>
      <w:lvlText w:val="(%1)"/>
      <w:numFmt w:val="decimal"/>
      <w:start w:val="1"/>
    </w:lvl>
    <w:lvl w:ilvl="1">
      <w:lvlJc w:val="left"/>
      <w:lvlText w:val="%2"/>
      <w:numFmt w:val="decimal"/>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lowerLetter"/>
      <w:start w:val="1"/>
    </w:lvl>
    <w:lvl w:ilvl="1">
      <w:lvlJc w:val="left"/>
      <w:lvlText w:val="(%2)"/>
      <w:numFmt w:val="decimal"/>
      <w:start w:val="1"/>
    </w:lvl>
  </w:abstractNum>
  <w:abstractNum w:abstractNumId="43">
    <w:nsid w:val="2CD89A32"/>
    <w:multiLevelType w:val="hybridMultilevel"/>
    <w:lvl w:ilvl="0">
      <w:lvlJc w:val="left"/>
      <w:lvlText w:val="(%1)"/>
      <w:numFmt w:val="lowerLetter"/>
      <w:start w:val="3"/>
    </w:lvl>
    <w:lvl w:ilvl="1">
      <w:lvlJc w:val="left"/>
      <w:lvlText w:val="%2"/>
      <w:numFmt w:val="decimal"/>
      <w:start w:val="1"/>
    </w:lvl>
  </w:abstractNum>
  <w:abstractNum w:abstractNumId="44">
    <w:nsid w:val="57E4CCAF"/>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2023-02-14T20:40:25Z</dcterms:created>
  <dcterms:modified xsi:type="dcterms:W3CDTF">2023-02-14T20:40:25Z</dcterms:modified>
</cp:coreProperties>
</file>