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79"/>
        <w:spacing w:after="0"/>
        <w:rPr>
          <w:sz w:val="20"/>
          <w:szCs w:val="20"/>
          <w:color w:val="auto"/>
        </w:rPr>
      </w:pPr>
      <w:r>
        <w:rPr>
          <w:rFonts w:ascii="Arial" w:cs="Arial" w:eastAsia="Arial" w:hAnsi="Arial"/>
          <w:sz w:val="18"/>
          <w:szCs w:val="18"/>
          <w:color w:val="auto"/>
        </w:rPr>
        <w:t>As confidentially submitted to the Securities and Exchange Commission on July 2, 2020.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586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57150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100330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jc w:val="center"/>
        <w:spacing w:after="0" w:line="239" w:lineRule="auto"/>
        <w:rPr>
          <w:sz w:val="20"/>
          <w:szCs w:val="20"/>
          <w:color w:val="auto"/>
        </w:rPr>
      </w:pPr>
      <w:r>
        <w:rPr>
          <w:rFonts w:ascii="Arial" w:cs="Arial" w:eastAsia="Arial" w:hAnsi="Arial"/>
          <w:sz w:val="22"/>
          <w:szCs w:val="22"/>
          <w:b w:val="1"/>
          <w:bCs w:val="1"/>
          <w:i w:val="1"/>
          <w:iCs w:val="1"/>
          <w:color w:val="auto"/>
        </w:rPr>
        <w:t>THE SECURITIES ACT OF 1933</w:t>
      </w: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FS Development Corp.</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Exact name of registrant as specified in its charter</w:t>
      </w:r>
      <w:r>
        <w:rPr>
          <w:rFonts w:ascii="Arial" w:cs="Arial" w:eastAsia="Arial" w:hAnsi="Arial"/>
          <w:sz w:val="18"/>
          <w:szCs w:val="18"/>
          <w:b w:val="1"/>
          <w:bCs w:val="1"/>
          <w:color w:val="auto"/>
        </w:rPr>
        <w:t>)</w:t>
      </w: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228" w:lineRule="exact"/>
        <w:rPr>
          <w:sz w:val="24"/>
          <w:szCs w:val="24"/>
          <w:color w:val="auto"/>
        </w:rPr>
      </w:pPr>
    </w:p>
    <w:tbl>
      <w:tblPr>
        <w:tblLayout w:type="fixed"/>
        <w:tblInd w:w="460" w:type="dxa"/>
        <w:tblCellMar>
          <w:top w:w="0" w:type="dxa"/>
          <w:left w:w="0" w:type="dxa"/>
          <w:bottom w:w="0" w:type="dxa"/>
          <w:right w:w="0" w:type="dxa"/>
        </w:tblCellMar>
      </w:tblPr>
      <w:tr>
        <w:trPr>
          <w:trHeight w:val="215"/>
        </w:trPr>
        <w:tc>
          <w:tcPr>
            <w:tcW w:w="2680" w:type="dxa"/>
            <w:vAlign w:val="bottom"/>
            <w:gridSpan w:val="2"/>
          </w:tcPr>
          <w:p>
            <w:pPr>
              <w:ind w:left="920"/>
              <w:spacing w:after="0"/>
              <w:rPr>
                <w:sz w:val="20"/>
                <w:szCs w:val="20"/>
                <w:color w:val="auto"/>
              </w:rPr>
            </w:pPr>
            <w:r>
              <w:rPr>
                <w:rFonts w:ascii="Arial" w:cs="Arial" w:eastAsia="Arial" w:hAnsi="Arial"/>
                <w:sz w:val="16"/>
                <w:szCs w:val="16"/>
                <w:b w:val="1"/>
                <w:bCs w:val="1"/>
                <w:color w:val="auto"/>
              </w:rPr>
              <w:t>Delaware</w:t>
            </w:r>
          </w:p>
        </w:tc>
        <w:tc>
          <w:tcPr>
            <w:tcW w:w="2620" w:type="dxa"/>
            <w:vAlign w:val="bottom"/>
          </w:tcPr>
          <w:p>
            <w:pPr>
              <w:jc w:val="center"/>
              <w:spacing w:after="0"/>
              <w:rPr>
                <w:sz w:val="20"/>
                <w:szCs w:val="20"/>
                <w:color w:val="auto"/>
              </w:rPr>
            </w:pPr>
            <w:r>
              <w:rPr>
                <w:rFonts w:ascii="Arial" w:cs="Arial" w:eastAsia="Arial" w:hAnsi="Arial"/>
                <w:sz w:val="16"/>
                <w:szCs w:val="16"/>
                <w:b w:val="1"/>
                <w:bCs w:val="1"/>
                <w:color w:val="auto"/>
              </w:rPr>
              <w:t>6770</w:t>
            </w:r>
          </w:p>
        </w:tc>
        <w:tc>
          <w:tcPr>
            <w:tcW w:w="8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85-1612845</w:t>
            </w:r>
          </w:p>
        </w:tc>
        <w:tc>
          <w:tcPr>
            <w:tcW w:w="0" w:type="dxa"/>
            <w:vAlign w:val="bottom"/>
          </w:tcPr>
          <w:p>
            <w:pPr>
              <w:spacing w:after="0"/>
              <w:rPr>
                <w:sz w:val="1"/>
                <w:szCs w:val="1"/>
                <w:color w:val="auto"/>
              </w:rPr>
            </w:pPr>
          </w:p>
        </w:tc>
      </w:tr>
      <w:tr>
        <w:trPr>
          <w:trHeight w:val="33"/>
        </w:trPr>
        <w:tc>
          <w:tcPr>
            <w:tcW w:w="260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600" w:type="dxa"/>
            <w:vAlign w:val="bottom"/>
          </w:tcPr>
          <w:p>
            <w:pPr>
              <w:ind w:left="160"/>
              <w:spacing w:after="0" w:line="165" w:lineRule="exact"/>
              <w:rPr>
                <w:sz w:val="20"/>
                <w:szCs w:val="20"/>
                <w:color w:val="auto"/>
              </w:rPr>
            </w:pPr>
            <w:r>
              <w:rPr>
                <w:rFonts w:ascii="Arial" w:cs="Arial" w:eastAsia="Arial" w:hAnsi="Arial"/>
                <w:sz w:val="16"/>
                <w:szCs w:val="16"/>
                <w:b w:val="1"/>
                <w:bCs w:val="1"/>
                <w:color w:val="auto"/>
              </w:rPr>
              <w:t>(State or other jurisdiction of</w:t>
            </w:r>
          </w:p>
        </w:tc>
        <w:tc>
          <w:tcPr>
            <w:tcW w:w="80" w:type="dxa"/>
            <w:vAlign w:val="bottom"/>
            <w:vMerge w:val="continue"/>
          </w:tcPr>
          <w:p>
            <w:pPr>
              <w:spacing w:after="0"/>
              <w:rPr>
                <w:sz w:val="14"/>
                <w:szCs w:val="14"/>
                <w:color w:val="auto"/>
              </w:rPr>
            </w:pPr>
          </w:p>
        </w:tc>
        <w:tc>
          <w:tcPr>
            <w:tcW w:w="26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(Primary Standard Industrial</w:t>
            </w:r>
          </w:p>
        </w:tc>
        <w:tc>
          <w:tcPr>
            <w:tcW w:w="80" w:type="dxa"/>
            <w:vAlign w:val="bottom"/>
            <w:vMerge w:val="continue"/>
          </w:tcPr>
          <w:p>
            <w:pPr>
              <w:spacing w:after="0"/>
              <w:rPr>
                <w:sz w:val="14"/>
                <w:szCs w:val="14"/>
                <w:color w:val="auto"/>
              </w:rPr>
            </w:pPr>
          </w:p>
        </w:tc>
        <w:tc>
          <w:tcPr>
            <w:tcW w:w="27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(I.R.S. Employer</w:t>
            </w:r>
          </w:p>
        </w:tc>
        <w:tc>
          <w:tcPr>
            <w:tcW w:w="0" w:type="dxa"/>
            <w:vAlign w:val="bottom"/>
          </w:tcPr>
          <w:p>
            <w:pPr>
              <w:spacing w:after="0"/>
              <w:rPr>
                <w:sz w:val="1"/>
                <w:szCs w:val="1"/>
                <w:color w:val="auto"/>
              </w:rPr>
            </w:pPr>
          </w:p>
        </w:tc>
      </w:tr>
      <w:tr>
        <w:trPr>
          <w:trHeight w:val="215"/>
        </w:trPr>
        <w:tc>
          <w:tcPr>
            <w:tcW w:w="268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incorporation or organization)</w:t>
            </w:r>
          </w:p>
        </w:tc>
        <w:tc>
          <w:tcPr>
            <w:tcW w:w="27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Classification Code Number)</w:t>
            </w: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Identification Number)</w:t>
            </w:r>
          </w:p>
        </w:tc>
        <w:tc>
          <w:tcPr>
            <w:tcW w:w="0" w:type="dxa"/>
            <w:vAlign w:val="bottom"/>
          </w:tcPr>
          <w:p>
            <w:pPr>
              <w:spacing w:after="0"/>
              <w:rPr>
                <w:sz w:val="1"/>
                <w:szCs w:val="1"/>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600 Montgomery Street, Suite 4500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Francisco, California 94111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(415) 877-4887</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executive offices)</w:t>
      </w:r>
    </w:p>
    <w:p>
      <w:pPr>
        <w:spacing w:after="0" w:line="26"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Jim Tananbaum</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600 Montgomery Street, Suite 4500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San Francisco, California 94111</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(415) 877-4887</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12"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to:</w:t>
      </w:r>
    </w:p>
    <w:p>
      <w:pPr>
        <w:spacing w:after="0" w:line="189" w:lineRule="exact"/>
        <w:rPr>
          <w:sz w:val="24"/>
          <w:szCs w:val="24"/>
          <w:color w:val="auto"/>
        </w:rPr>
      </w:pPr>
    </w:p>
    <w:tbl>
      <w:tblPr>
        <w:tblLayout w:type="fixed"/>
        <w:tblInd w:w="1320" w:type="dxa"/>
        <w:tblCellMar>
          <w:top w:w="0" w:type="dxa"/>
          <w:left w:w="0" w:type="dxa"/>
          <w:bottom w:w="0" w:type="dxa"/>
          <w:right w:w="0" w:type="dxa"/>
        </w:tblCellMar>
      </w:tblP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Joel L. Rubinstein</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w w:val="99"/>
              </w:rPr>
              <w:t>Gregg Noel</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Colin J. Diamond</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Michael J. Mies</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Daniel E. Nussen</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Skadden, Arps, Slate, Meagher &amp; Flom LLP</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White &amp; Case LLP</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525 University Avenue, Suite 1400</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1221 Avenue of the Americas</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rPr>
              <w:t>Palo Alto, California 94301</w:t>
            </w:r>
          </w:p>
        </w:tc>
      </w:tr>
      <w:tr>
        <w:trPr>
          <w:trHeight w:val="189"/>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New York, New York 10020</w:t>
            </w:r>
          </w:p>
        </w:tc>
        <w:tc>
          <w:tcPr>
            <w:tcW w:w="3960" w:type="dxa"/>
            <w:vAlign w:val="bottom"/>
          </w:tcPr>
          <w:p>
            <w:pPr>
              <w:jc w:val="center"/>
              <w:ind w:left="579"/>
              <w:spacing w:after="0"/>
              <w:rPr>
                <w:sz w:val="20"/>
                <w:szCs w:val="20"/>
                <w:color w:val="auto"/>
              </w:rPr>
            </w:pPr>
            <w:r>
              <w:rPr>
                <w:rFonts w:ascii="Arial" w:cs="Arial" w:eastAsia="Arial" w:hAnsi="Arial"/>
                <w:sz w:val="16"/>
                <w:szCs w:val="16"/>
                <w:b w:val="1"/>
                <w:bCs w:val="1"/>
                <w:color w:val="auto"/>
                <w:w w:val="99"/>
              </w:rPr>
              <w:t>Tel: (650) 470-4500</w:t>
            </w:r>
          </w:p>
        </w:tc>
      </w:tr>
      <w:tr>
        <w:trPr>
          <w:trHeight w:val="215"/>
        </w:trPr>
        <w:tc>
          <w:tcPr>
            <w:tcW w:w="2900" w:type="dxa"/>
            <w:vAlign w:val="bottom"/>
          </w:tcPr>
          <w:p>
            <w:pPr>
              <w:jc w:val="center"/>
              <w:ind w:right="579"/>
              <w:spacing w:after="0"/>
              <w:rPr>
                <w:sz w:val="20"/>
                <w:szCs w:val="20"/>
                <w:color w:val="auto"/>
              </w:rPr>
            </w:pPr>
            <w:r>
              <w:rPr>
                <w:rFonts w:ascii="Arial" w:cs="Arial" w:eastAsia="Arial" w:hAnsi="Arial"/>
                <w:sz w:val="16"/>
                <w:szCs w:val="16"/>
                <w:b w:val="1"/>
                <w:bCs w:val="1"/>
                <w:color w:val="auto"/>
              </w:rPr>
              <w:t>Tel: (212) 819-8200</w:t>
            </w:r>
          </w:p>
        </w:tc>
        <w:tc>
          <w:tcPr>
            <w:tcW w:w="3960" w:type="dxa"/>
            <w:vAlign w:val="bottom"/>
          </w:tcPr>
          <w:p>
            <w:pPr>
              <w:spacing w:after="0"/>
              <w:rPr>
                <w:sz w:val="18"/>
                <w:szCs w:val="18"/>
                <w:color w:val="auto"/>
              </w:rPr>
            </w:pPr>
          </w:p>
        </w:tc>
      </w:tr>
    </w:tbl>
    <w:p>
      <w:pPr>
        <w:spacing w:after="0" w:line="190"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59" w:lineRule="exact"/>
        <w:rPr>
          <w:sz w:val="24"/>
          <w:szCs w:val="24"/>
          <w:color w:val="auto"/>
        </w:rPr>
      </w:pPr>
    </w:p>
    <w:p>
      <w:pPr>
        <w:ind w:left="460" w:right="999"/>
        <w:spacing w:after="0" w:line="286"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of this registration statement.</w:t>
      </w:r>
    </w:p>
    <w:p>
      <w:pPr>
        <w:spacing w:after="0" w:line="14" w:lineRule="exact"/>
        <w:rPr>
          <w:sz w:val="24"/>
          <w:szCs w:val="24"/>
          <w:color w:val="auto"/>
        </w:rPr>
      </w:pPr>
    </w:p>
    <w:p>
      <w:pPr>
        <w:ind w:left="460" w:right="519"/>
        <w:spacing w:after="0" w:line="260"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33" w:lineRule="exact"/>
        <w:rPr>
          <w:sz w:val="24"/>
          <w:szCs w:val="24"/>
          <w:color w:val="auto"/>
        </w:rPr>
      </w:pPr>
    </w:p>
    <w:p>
      <w:pPr>
        <w:ind w:left="460" w:right="739"/>
        <w:spacing w:after="0" w:line="253"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39" w:lineRule="exact"/>
        <w:rPr>
          <w:sz w:val="24"/>
          <w:szCs w:val="24"/>
          <w:color w:val="auto"/>
        </w:rPr>
      </w:pPr>
    </w:p>
    <w:p>
      <w:pPr>
        <w:ind w:left="460" w:right="919"/>
        <w:spacing w:after="0" w:line="253"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39" w:lineRule="exact"/>
        <w:rPr>
          <w:sz w:val="24"/>
          <w:szCs w:val="24"/>
          <w:color w:val="auto"/>
        </w:rPr>
      </w:pPr>
    </w:p>
    <w:p>
      <w:pPr>
        <w:ind w:left="460" w:right="919"/>
        <w:spacing w:after="0" w:line="253"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39" w:lineRule="exact"/>
        <w:rPr>
          <w:sz w:val="24"/>
          <w:szCs w:val="24"/>
          <w:color w:val="auto"/>
        </w:rPr>
      </w:pPr>
    </w:p>
    <w:p>
      <w:pPr>
        <w:ind w:left="460" w:right="479"/>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16" w:lineRule="exact"/>
        <w:rPr>
          <w:sz w:val="24"/>
          <w:szCs w:val="24"/>
          <w:color w:val="auto"/>
        </w:rPr>
      </w:pPr>
    </w:p>
    <w:tbl>
      <w:tblPr>
        <w:tblLayout w:type="fixed"/>
        <w:tblInd w:w="460" w:type="dxa"/>
        <w:tblCellMar>
          <w:top w:w="0" w:type="dxa"/>
          <w:left w:w="0" w:type="dxa"/>
          <w:bottom w:w="0" w:type="dxa"/>
          <w:right w:w="0" w:type="dxa"/>
        </w:tblCellMar>
      </w:tblPr>
      <w:tr>
        <w:trPr>
          <w:trHeight w:val="195"/>
        </w:trPr>
        <w:tc>
          <w:tcPr>
            <w:tcW w:w="16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w:t>
            </w:r>
          </w:p>
        </w:tc>
        <w:tc>
          <w:tcPr>
            <w:tcW w:w="3100" w:type="dxa"/>
            <w:vAlign w:val="bottom"/>
          </w:tcPr>
          <w:p>
            <w:pPr>
              <w:ind w:left="1120"/>
              <w:spacing w:after="0"/>
              <w:rPr>
                <w:sz w:val="20"/>
                <w:szCs w:val="20"/>
                <w:color w:val="auto"/>
              </w:rPr>
            </w:pPr>
            <w:r>
              <w:rPr>
                <w:rFonts w:ascii="Arial" w:cs="Arial" w:eastAsia="Arial" w:hAnsi="Arial"/>
                <w:sz w:val="16"/>
                <w:szCs w:val="16"/>
                <w:color w:val="auto"/>
              </w:rPr>
              <w:t>Accelerated filer</w:t>
            </w: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r>
      <w:tr>
        <w:trPr>
          <w:trHeight w:val="284"/>
        </w:trPr>
        <w:tc>
          <w:tcPr>
            <w:tcW w:w="1640" w:type="dxa"/>
            <w:vAlign w:val="bottom"/>
          </w:tcPr>
          <w:p>
            <w:pPr>
              <w:spacing w:after="0"/>
              <w:rPr>
                <w:sz w:val="20"/>
                <w:szCs w:val="20"/>
                <w:color w:val="auto"/>
              </w:rPr>
            </w:pPr>
            <w:r>
              <w:rPr>
                <w:rFonts w:ascii="Arial" w:cs="Arial" w:eastAsia="Arial" w:hAnsi="Arial"/>
                <w:sz w:val="16"/>
                <w:szCs w:val="16"/>
                <w:color w:val="auto"/>
              </w:rPr>
              <w:t>Non-accelerated filer</w:t>
            </w:r>
          </w:p>
        </w:tc>
        <w:tc>
          <w:tcPr>
            <w:tcW w:w="1260" w:type="dxa"/>
            <w:vAlign w:val="bottom"/>
          </w:tcPr>
          <w:p>
            <w:pPr>
              <w:ind w:left="20"/>
              <w:spacing w:after="0"/>
              <w:rPr>
                <w:sz w:val="20"/>
                <w:szCs w:val="20"/>
                <w:color w:val="auto"/>
              </w:rPr>
            </w:pPr>
            <w:r>
              <w:rPr>
                <w:rFonts w:ascii="Arial" w:cs="Arial" w:eastAsia="Arial" w:hAnsi="Arial"/>
                <w:sz w:val="16"/>
                <w:szCs w:val="16"/>
                <w:color w:val="auto"/>
              </w:rPr>
              <w:t>S</w:t>
            </w:r>
          </w:p>
        </w:tc>
        <w:tc>
          <w:tcPr>
            <w:tcW w:w="3100" w:type="dxa"/>
            <w:vAlign w:val="bottom"/>
          </w:tcPr>
          <w:p>
            <w:pPr>
              <w:ind w:left="1120"/>
              <w:spacing w:after="0"/>
              <w:rPr>
                <w:sz w:val="20"/>
                <w:szCs w:val="20"/>
                <w:color w:val="auto"/>
              </w:rPr>
            </w:pPr>
            <w:r>
              <w:rPr>
                <w:rFonts w:ascii="Arial" w:cs="Arial" w:eastAsia="Arial" w:hAnsi="Arial"/>
                <w:sz w:val="16"/>
                <w:szCs w:val="16"/>
                <w:color w:val="auto"/>
              </w:rPr>
              <w:t>Smaller reporting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r>
        <w:trPr>
          <w:trHeight w:val="283"/>
        </w:trPr>
        <w:tc>
          <w:tcPr>
            <w:tcW w:w="1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100" w:type="dxa"/>
            <w:vAlign w:val="bottom"/>
          </w:tcPr>
          <w:p>
            <w:pPr>
              <w:ind w:left="1120"/>
              <w:spacing w:after="0"/>
              <w:rPr>
                <w:sz w:val="20"/>
                <w:szCs w:val="20"/>
                <w:color w:val="auto"/>
              </w:rPr>
            </w:pPr>
            <w:r>
              <w:rPr>
                <w:rFonts w:ascii="Arial" w:cs="Arial" w:eastAsia="Arial" w:hAnsi="Arial"/>
                <w:sz w:val="16"/>
                <w:szCs w:val="16"/>
                <w:color w:val="auto"/>
              </w:rPr>
              <w:t>Emerging growth company</w:t>
            </w:r>
          </w:p>
        </w:tc>
        <w:tc>
          <w:tcPr>
            <w:tcW w:w="160" w:type="dxa"/>
            <w:vAlign w:val="bottom"/>
          </w:tcPr>
          <w:p>
            <w:pPr>
              <w:ind w:left="40"/>
              <w:spacing w:after="0"/>
              <w:rPr>
                <w:sz w:val="20"/>
                <w:szCs w:val="20"/>
                <w:color w:val="auto"/>
              </w:rPr>
            </w:pPr>
            <w:r>
              <w:rPr>
                <w:rFonts w:ascii="Arial" w:cs="Arial" w:eastAsia="Arial" w:hAnsi="Arial"/>
                <w:sz w:val="16"/>
                <w:szCs w:val="16"/>
                <w:color w:val="auto"/>
                <w:w w:val="93"/>
              </w:rPr>
              <w:t>S</w:t>
            </w:r>
          </w:p>
        </w:tc>
      </w:tr>
    </w:tbl>
    <w:p>
      <w:pPr>
        <w:spacing w:after="0" w:line="224" w:lineRule="exact"/>
        <w:rPr>
          <w:sz w:val="24"/>
          <w:szCs w:val="24"/>
          <w:color w:val="auto"/>
        </w:rPr>
      </w:pPr>
    </w:p>
    <w:p>
      <w:pPr>
        <w:jc w:val="both"/>
        <w:ind w:left="460" w:right="839"/>
        <w:spacing w:after="0" w:line="25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229235</wp:posOffset>
            </wp:positionV>
            <wp:extent cx="5143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781"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Proposed</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Proposed</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2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Maximum</w:t>
            </w: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Maximum</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2"/>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 of Security Being</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Amount Being</w:t>
            </w:r>
          </w:p>
        </w:tc>
        <w:tc>
          <w:tcPr>
            <w:tcW w:w="12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Offering Price</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Aggregate</w:t>
            </w:r>
          </w:p>
        </w:tc>
        <w:tc>
          <w:tcPr>
            <w:tcW w:w="1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Amount of</w:t>
            </w:r>
          </w:p>
        </w:tc>
      </w:tr>
      <w:tr>
        <w:trPr>
          <w:trHeight w:val="216"/>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Registered</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Registered</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9"/>
              </w:rPr>
              <w:t>per Security</w:t>
            </w:r>
            <w:r>
              <w:rPr>
                <w:rFonts w:ascii="Arial" w:cs="Arial" w:eastAsia="Arial" w:hAnsi="Arial"/>
                <w:sz w:val="16"/>
                <w:szCs w:val="16"/>
                <w:b w:val="1"/>
                <w:bCs w:val="1"/>
                <w:color w:val="auto"/>
                <w:w w:val="99"/>
                <w:vertAlign w:val="superscript"/>
              </w:rPr>
              <w:t>(1)</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Offering Price</w:t>
            </w:r>
            <w:r>
              <w:rPr>
                <w:rFonts w:ascii="Arial" w:cs="Arial" w:eastAsia="Arial" w:hAnsi="Arial"/>
                <w:sz w:val="16"/>
                <w:szCs w:val="16"/>
                <w:b w:val="1"/>
                <w:bCs w:val="1"/>
                <w:color w:val="auto"/>
                <w:w w:val="98"/>
                <w:vertAlign w:val="superscript"/>
              </w:rPr>
              <w:t>(1)</w:t>
            </w:r>
          </w:p>
        </w:tc>
        <w:tc>
          <w:tcPr>
            <w:tcW w:w="12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Registration Fee</w:t>
            </w:r>
          </w:p>
        </w:tc>
      </w:tr>
      <w:tr>
        <w:trPr>
          <w:trHeight w:val="195"/>
        </w:trPr>
        <w:tc>
          <w:tcPr>
            <w:tcW w:w="2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Units, each consisting of one share</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r>
      <w:tr>
        <w:trPr>
          <w:trHeight w:val="203"/>
        </w:trPr>
        <w:tc>
          <w:tcPr>
            <w:tcW w:w="30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of Class A common stock, $0.0001</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2"/>
        </w:trPr>
        <w:tc>
          <w:tcPr>
            <w:tcW w:w="308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par value, and one-third of one</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11,500,000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4"/>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redeemable warrant</w:t>
            </w:r>
            <w:r>
              <w:rPr>
                <w:rFonts w:ascii="Arial" w:cs="Arial" w:eastAsia="Arial" w:hAnsi="Arial"/>
                <w:sz w:val="20"/>
                <w:szCs w:val="20"/>
                <w:color w:val="auto"/>
                <w:vertAlign w:val="superscript"/>
              </w:rPr>
              <w:t>(2)</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Units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$ 115,000,000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14,927.00</w:t>
            </w:r>
          </w:p>
        </w:tc>
        <w:tc>
          <w:tcPr>
            <w:tcW w:w="140" w:type="dxa"/>
            <w:vAlign w:val="bottom"/>
            <w:shd w:val="clear" w:color="auto" w:fill="CCEEFF"/>
          </w:tcPr>
          <w:p>
            <w:pPr>
              <w:spacing w:after="0"/>
              <w:rPr>
                <w:sz w:val="21"/>
                <w:szCs w:val="21"/>
                <w:color w:val="auto"/>
              </w:rPr>
            </w:pPr>
          </w:p>
        </w:tc>
      </w:tr>
      <w:tr>
        <w:trPr>
          <w:trHeight w:val="202"/>
        </w:trPr>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Shares of Class A common stock</w:t>
            </w:r>
          </w:p>
        </w:tc>
        <w:tc>
          <w:tcPr>
            <w:tcW w:w="1120" w:type="dxa"/>
            <w:vAlign w:val="bottom"/>
          </w:tcPr>
          <w:p>
            <w:pPr>
              <w:jc w:val="center"/>
              <w:spacing w:after="0" w:line="201" w:lineRule="exact"/>
              <w:rPr>
                <w:sz w:val="20"/>
                <w:szCs w:val="20"/>
                <w:color w:val="auto"/>
              </w:rPr>
            </w:pPr>
            <w:r>
              <w:rPr>
                <w:rFonts w:ascii="Arial" w:cs="Arial" w:eastAsia="Arial" w:hAnsi="Arial"/>
                <w:sz w:val="18"/>
                <w:szCs w:val="18"/>
                <w:color w:val="auto"/>
                <w:w w:val="99"/>
              </w:rPr>
              <w:t>11,500,000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4"/>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included as part of the units</w:t>
            </w:r>
            <w:r>
              <w:rPr>
                <w:rFonts w:ascii="Arial" w:cs="Arial" w:eastAsia="Arial" w:hAnsi="Arial"/>
                <w:sz w:val="20"/>
                <w:szCs w:val="20"/>
                <w:color w:val="auto"/>
                <w:vertAlign w:val="superscript"/>
              </w:rPr>
              <w:t>(3)</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Shares</w:t>
            </w: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00" w:type="dxa"/>
            <w:vAlign w:val="bottom"/>
            <w:gridSpan w:val="2"/>
          </w:tcPr>
          <w:p>
            <w:pPr>
              <w:ind w:left="780"/>
              <w:spacing w:after="0" w:line="243" w:lineRule="exact"/>
              <w:rPr>
                <w:sz w:val="20"/>
                <w:szCs w:val="20"/>
                <w:color w:val="auto"/>
              </w:rPr>
            </w:pPr>
            <w:r>
              <w:rPr>
                <w:rFonts w:ascii="Arial" w:cs="Arial" w:eastAsia="Arial" w:hAnsi="Arial"/>
                <w:sz w:val="28"/>
                <w:szCs w:val="28"/>
                <w:color w:val="auto"/>
                <w:w w:val="96"/>
                <w:vertAlign w:val="subscript"/>
              </w:rPr>
              <w:t>—</w:t>
            </w:r>
            <w:r>
              <w:rPr>
                <w:rFonts w:ascii="Arial" w:cs="Arial" w:eastAsia="Arial" w:hAnsi="Arial"/>
                <w:sz w:val="10"/>
                <w:szCs w:val="10"/>
                <w:color w:val="auto"/>
                <w:w w:val="96"/>
              </w:rPr>
              <w:t>(4)</w:t>
            </w:r>
          </w:p>
        </w:tc>
      </w:tr>
      <w:tr>
        <w:trPr>
          <w:trHeight w:val="202"/>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Redeemable warrants included as</w:t>
            </w:r>
          </w:p>
        </w:tc>
        <w:tc>
          <w:tcPr>
            <w:tcW w:w="11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3,833,333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4"/>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part of the units</w:t>
            </w:r>
            <w:r>
              <w:rPr>
                <w:rFonts w:ascii="Arial" w:cs="Arial" w:eastAsia="Arial" w:hAnsi="Arial"/>
                <w:sz w:val="20"/>
                <w:szCs w:val="20"/>
                <w:color w:val="auto"/>
                <w:vertAlign w:val="superscript"/>
              </w:rPr>
              <w:t>(3)</w:t>
            </w:r>
          </w:p>
        </w:tc>
        <w:tc>
          <w:tcPr>
            <w:tcW w:w="12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Warrants</w:t>
            </w:r>
          </w:p>
        </w:tc>
        <w:tc>
          <w:tcPr>
            <w:tcW w:w="1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80"/>
              <w:spacing w:after="0" w:line="243" w:lineRule="exact"/>
              <w:rPr>
                <w:sz w:val="20"/>
                <w:szCs w:val="20"/>
                <w:color w:val="auto"/>
              </w:rPr>
            </w:pPr>
            <w:r>
              <w:rPr>
                <w:rFonts w:ascii="Arial" w:cs="Arial" w:eastAsia="Arial" w:hAnsi="Arial"/>
                <w:sz w:val="28"/>
                <w:szCs w:val="28"/>
                <w:color w:val="auto"/>
                <w:w w:val="96"/>
                <w:vertAlign w:val="subscript"/>
              </w:rPr>
              <w:t>—</w:t>
            </w:r>
            <w:r>
              <w:rPr>
                <w:rFonts w:ascii="Arial" w:cs="Arial" w:eastAsia="Arial" w:hAnsi="Arial"/>
                <w:sz w:val="10"/>
                <w:szCs w:val="10"/>
                <w:color w:val="auto"/>
                <w:w w:val="96"/>
              </w:rPr>
              <w:t>(4)</w:t>
            </w:r>
          </w:p>
        </w:tc>
      </w:tr>
      <w:tr>
        <w:trPr>
          <w:trHeight w:val="250"/>
        </w:trPr>
        <w:tc>
          <w:tcPr>
            <w:tcW w:w="3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$ 115,000,000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14,927.</w:t>
            </w:r>
            <w:r>
              <w:rPr>
                <w:rFonts w:ascii="Arial" w:cs="Arial" w:eastAsia="Arial" w:hAnsi="Arial"/>
                <w:sz w:val="18"/>
                <w:szCs w:val="18"/>
                <w:u w:val="single" w:color="auto"/>
                <w:color w:val="auto"/>
              </w:rPr>
              <w:t>00</w:t>
            </w:r>
          </w:p>
        </w:tc>
        <w:tc>
          <w:tcPr>
            <w:tcW w:w="140" w:type="dxa"/>
            <w:vAlign w:val="bottom"/>
          </w:tcPr>
          <w:p>
            <w:pPr>
              <w:spacing w:after="0"/>
              <w:rPr>
                <w:sz w:val="21"/>
                <w:szCs w:val="2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579" w:hanging="426"/>
        <w:spacing w:after="0" w:line="216" w:lineRule="auto"/>
        <w:tabs>
          <w:tab w:leader="none" w:pos="847"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 (the “Securities Act”).</w:t>
      </w:r>
    </w:p>
    <w:p>
      <w:pPr>
        <w:ind w:left="880" w:right="779" w:hanging="426"/>
        <w:spacing w:after="0" w:line="216" w:lineRule="auto"/>
        <w:tabs>
          <w:tab w:leader="none" w:pos="847"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1,500,000 units, consisting of 1,500,000 shares of Class A common stock and 500,000 redeemable warrants, which may be issued upon exercise of a 45-day option granted to the underwriters to cover over-allotments, if any.</w:t>
      </w:r>
    </w:p>
    <w:p>
      <w:pPr>
        <w:ind w:left="880" w:right="619" w:hanging="426"/>
        <w:spacing w:after="0" w:line="216" w:lineRule="auto"/>
        <w:tabs>
          <w:tab w:leader="none" w:pos="847" w:val="left"/>
        </w:tabs>
        <w:numPr>
          <w:ilvl w:val="0"/>
          <w:numId w:val="1"/>
        </w:numPr>
        <w:rPr>
          <w:rFonts w:ascii="Arial" w:cs="Arial" w:eastAsia="Arial" w:hAnsi="Arial"/>
          <w:sz w:val="13"/>
          <w:szCs w:val="13"/>
          <w:color w:val="auto"/>
        </w:rPr>
      </w:pPr>
      <w:r>
        <w:rPr>
          <w:rFonts w:ascii="Arial" w:cs="Arial" w:eastAsia="Arial" w:hAnsi="Arial"/>
          <w:sz w:val="13"/>
          <w:szCs w:val="13"/>
          <w:color w:val="auto"/>
        </w:rPr>
        <w:t>Pursuant to Rule 416 under the Securities Act, there are also being registered an indeterminable number of additional securities as may be issued to prevent dilution resulting from stock splits, stock dividends or similar transactions.</w:t>
      </w:r>
    </w:p>
    <w:p>
      <w:pPr>
        <w:ind w:left="860" w:hanging="406"/>
        <w:spacing w:after="0"/>
        <w:tabs>
          <w:tab w:leader="none" w:pos="860" w:val="left"/>
        </w:tabs>
        <w:numPr>
          <w:ilvl w:val="0"/>
          <w:numId w:val="1"/>
        </w:numPr>
        <w:rPr>
          <w:rFonts w:ascii="Arial" w:cs="Arial" w:eastAsia="Arial" w:hAnsi="Arial"/>
          <w:sz w:val="13"/>
          <w:szCs w:val="13"/>
          <w:color w:val="auto"/>
        </w:rPr>
      </w:pPr>
      <w:r>
        <w:rPr>
          <w:rFonts w:ascii="Arial" w:cs="Arial" w:eastAsia="Arial" w:hAnsi="Arial"/>
          <w:sz w:val="13"/>
          <w:szCs w:val="13"/>
          <w:color w:val="auto"/>
        </w:rPr>
        <w:t>No fee pursuant to Rule 457(g) under the Securities Act.</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6"/>
          <w:szCs w:val="16"/>
          <w:b w:val="1"/>
          <w:bCs w:val="1"/>
          <w:color w:val="auto"/>
        </w:rPr>
        <w:t>___________________________</w:t>
      </w:r>
    </w:p>
    <w:p>
      <w:pPr>
        <w:spacing w:after="0" w:line="135" w:lineRule="exact"/>
        <w:rPr>
          <w:sz w:val="20"/>
          <w:szCs w:val="20"/>
          <w:color w:val="auto"/>
        </w:rPr>
      </w:pPr>
    </w:p>
    <w:p>
      <w:pPr>
        <w:ind w:left="460" w:right="639"/>
        <w:spacing w:after="0" w:line="242"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256540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299720</wp:posOffset>
            </wp:positionV>
            <wp:extent cx="51435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574040</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2" w:name="page3"/>
    <w:bookmarkEnd w:id="2"/>
    <w:p>
      <w:pPr>
        <w:ind w:left="460" w:right="459"/>
        <w:spacing w:after="0" w:line="247" w:lineRule="auto"/>
        <w:rPr>
          <w:sz w:val="20"/>
          <w:szCs w:val="20"/>
          <w:color w:val="auto"/>
        </w:rPr>
      </w:pPr>
      <w:r>
        <w:rPr>
          <w:rFonts w:ascii="Arial" w:cs="Arial" w:eastAsia="Arial" w:hAnsi="Arial"/>
          <w:sz w:val="14"/>
          <w:szCs w:val="14"/>
          <w:color w:val="EA0029"/>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280" w:lineRule="exact"/>
        <w:rPr>
          <w:sz w:val="20"/>
          <w:szCs w:val="20"/>
          <w:color w:val="auto"/>
        </w:rPr>
      </w:pPr>
    </w:p>
    <w:tbl>
      <w:tblPr>
        <w:tblLayout w:type="fixed"/>
        <w:tblInd w:w="4560" w:type="dxa"/>
        <w:tblCellMar>
          <w:top w:w="0" w:type="dxa"/>
          <w:left w:w="0" w:type="dxa"/>
          <w:bottom w:w="0" w:type="dxa"/>
          <w:right w:w="0" w:type="dxa"/>
        </w:tblCellMar>
      </w:tblPr>
      <w:tr>
        <w:trPr>
          <w:trHeight w:val="217"/>
        </w:trPr>
        <w:tc>
          <w:tcPr>
            <w:tcW w:w="3260" w:type="dxa"/>
            <w:vAlign w:val="bottom"/>
          </w:tcPr>
          <w:p>
            <w:pPr>
              <w:spacing w:after="0"/>
              <w:rPr>
                <w:sz w:val="20"/>
                <w:szCs w:val="20"/>
                <w:color w:val="auto"/>
              </w:rPr>
            </w:pPr>
            <w:r>
              <w:rPr>
                <w:rFonts w:ascii="Arial" w:cs="Arial" w:eastAsia="Arial" w:hAnsi="Arial"/>
                <w:sz w:val="18"/>
                <w:szCs w:val="18"/>
                <w:color w:val="EA0029"/>
              </w:rPr>
              <w:t>SUBJECT TO COMPLETION, DATED</w:t>
            </w:r>
          </w:p>
        </w:tc>
        <w:tc>
          <w:tcPr>
            <w:tcW w:w="740" w:type="dxa"/>
            <w:vAlign w:val="bottom"/>
          </w:tcPr>
          <w:p>
            <w:pPr>
              <w:jc w:val="right"/>
              <w:spacing w:after="0"/>
              <w:rPr>
                <w:sz w:val="20"/>
                <w:szCs w:val="20"/>
                <w:color w:val="auto"/>
              </w:rPr>
            </w:pPr>
            <w:r>
              <w:rPr>
                <w:rFonts w:ascii="Arial" w:cs="Arial" w:eastAsia="Arial" w:hAnsi="Arial"/>
                <w:sz w:val="18"/>
                <w:szCs w:val="18"/>
                <w:color w:val="EA0029"/>
              </w:rPr>
              <w:t>, 2020</w:t>
            </w:r>
          </w:p>
        </w:tc>
      </w:tr>
    </w:tbl>
    <w:p>
      <w:pPr>
        <w:spacing w:after="0" w:line="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PRELIMINARY PROSPECTUS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FS Development Corp.</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10,000,000 Units</w:t>
      </w:r>
    </w:p>
    <w:p>
      <w:pPr>
        <w:spacing w:after="0" w:line="42" w:lineRule="exact"/>
        <w:rPr>
          <w:sz w:val="20"/>
          <w:szCs w:val="20"/>
          <w:color w:val="auto"/>
        </w:rPr>
      </w:pPr>
    </w:p>
    <w:p>
      <w:pPr>
        <w:ind w:left="460" w:right="619"/>
        <w:spacing w:after="0" w:line="245" w:lineRule="auto"/>
        <w:rPr>
          <w:sz w:val="20"/>
          <w:szCs w:val="20"/>
          <w:color w:val="auto"/>
        </w:rPr>
      </w:pPr>
      <w:r>
        <w:rPr>
          <w:rFonts w:ascii="Arial" w:cs="Arial" w:eastAsia="Arial" w:hAnsi="Arial"/>
          <w:sz w:val="14"/>
          <w:szCs w:val="14"/>
          <w:color w:val="auto"/>
        </w:rPr>
        <w:t>FS Development Corp. is a blank check company formed as a Delaware corporation for the purpose of effecting a merger, capital stock exchange, asset acquisition, stock purchase, reorganization or similar business combination with one or more businesses, which we refer to as our initial business combination. We have not selected any specific business combination target and we have not, nor has anyone on our behalf, engaged in any substantive discussions, directly or indirectly, with any business combination target with respect to an initial business combination with us.</w:t>
      </w:r>
    </w:p>
    <w:p>
      <w:pPr>
        <w:spacing w:after="0" w:line="42" w:lineRule="exact"/>
        <w:rPr>
          <w:sz w:val="20"/>
          <w:szCs w:val="20"/>
          <w:color w:val="auto"/>
        </w:rPr>
      </w:pPr>
    </w:p>
    <w:p>
      <w:pPr>
        <w:ind w:left="460" w:right="519"/>
        <w:spacing w:after="0" w:line="243" w:lineRule="auto"/>
        <w:rPr>
          <w:sz w:val="20"/>
          <w:szCs w:val="20"/>
          <w:color w:val="auto"/>
        </w:rPr>
      </w:pPr>
      <w:r>
        <w:rPr>
          <w:rFonts w:ascii="Arial" w:cs="Arial" w:eastAsia="Arial" w:hAnsi="Arial"/>
          <w:sz w:val="14"/>
          <w:szCs w:val="14"/>
          <w:color w:val="auto"/>
        </w:rPr>
        <w:t>This is an initial public offering of our securities. Each unit has an offering price of $10.00 and consists of one share of Class A common stock and one-third of one redeemable warrant. Each whole warrant entitles the holder thereof to purchase one share of Class A common stock at a price of $11.50 per share, subject to adjustment as described herein. Only whole warrants are exercisable. No fractional warrants will be issued upon separation of the units and only whole warrants will trade. The warrants will become exercisable on the later of 30 days after the completion of our initial business combination or 12 months from the closing of this offering, and will expire five years after the completion of our initial business combination or earlier upon redemption or our liquidation, as described herein. The underwriters have a 45-day option from the date of this prospectus to purchase up to 1,500,000 additional units to cover over-allotments, if any.</w:t>
      </w:r>
    </w:p>
    <w:p>
      <w:pPr>
        <w:spacing w:after="0" w:line="46" w:lineRule="exact"/>
        <w:rPr>
          <w:sz w:val="20"/>
          <w:szCs w:val="20"/>
          <w:color w:val="auto"/>
        </w:rPr>
      </w:pPr>
    </w:p>
    <w:p>
      <w:pPr>
        <w:ind w:left="460" w:right="479"/>
        <w:spacing w:after="0" w:line="243" w:lineRule="auto"/>
        <w:rPr>
          <w:sz w:val="20"/>
          <w:szCs w:val="20"/>
          <w:color w:val="auto"/>
        </w:rPr>
      </w:pPr>
      <w:r>
        <w:rPr>
          <w:rFonts w:ascii="Arial" w:cs="Arial" w:eastAsia="Arial" w:hAnsi="Arial"/>
          <w:sz w:val="14"/>
          <w:szCs w:val="14"/>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described below as of two business days prior to the consummation of our initial business combination, including interest earned on the funds held in the trust account and not previously released to us to pay our taxes, divided by the number of then outstanding shares of Class A common stock that were sold as part of the units in this offering, which we refer to collectively as our public shares, subject to the limitations and on the conditions described herein. If we are unable to complete our initial business combination within 24 months from the closing of this offering, we will redeem 100% of the public shares at a per 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subject to applicable law and certain conditions as further described herein.</w:t>
      </w:r>
    </w:p>
    <w:p>
      <w:pPr>
        <w:spacing w:after="0" w:line="43" w:lineRule="exact"/>
        <w:rPr>
          <w:sz w:val="20"/>
          <w:szCs w:val="20"/>
          <w:color w:val="auto"/>
        </w:rPr>
      </w:pPr>
    </w:p>
    <w:p>
      <w:pPr>
        <w:ind w:left="460" w:right="479"/>
        <w:spacing w:after="0" w:line="245" w:lineRule="auto"/>
        <w:rPr>
          <w:sz w:val="20"/>
          <w:szCs w:val="20"/>
          <w:color w:val="auto"/>
        </w:rPr>
      </w:pPr>
      <w:r>
        <w:rPr>
          <w:rFonts w:ascii="Arial" w:cs="Arial" w:eastAsia="Arial" w:hAnsi="Arial"/>
          <w:sz w:val="14"/>
          <w:szCs w:val="14"/>
          <w:color w:val="auto"/>
        </w:rPr>
        <w:t>Our sponsor, FS Development Holdings, LLC has committed to purchase an aggregate of 2,666,667 private placement warrants (or 2,866,667 warrants if the underwriters’ over-allotment option is exercised in full), each exercisable to purchase one share of Class A common stock at $11.50 per share, at a price of $1.50 per warrant, or $4,000,000 in the aggregate (or $4,300,000 if the underwriters’ over-allotment option is exercised in full), in a private placement that will close simultaneously with the closing of this offering.</w:t>
      </w:r>
    </w:p>
    <w:p>
      <w:pPr>
        <w:spacing w:after="0" w:line="42" w:lineRule="exact"/>
        <w:rPr>
          <w:sz w:val="20"/>
          <w:szCs w:val="20"/>
          <w:color w:val="auto"/>
        </w:rPr>
      </w:pPr>
    </w:p>
    <w:p>
      <w:pPr>
        <w:ind w:left="460" w:right="499"/>
        <w:spacing w:after="0" w:line="247" w:lineRule="auto"/>
        <w:rPr>
          <w:sz w:val="20"/>
          <w:szCs w:val="20"/>
          <w:color w:val="auto"/>
        </w:rPr>
      </w:pPr>
      <w:r>
        <w:rPr>
          <w:rFonts w:ascii="Arial" w:cs="Arial" w:eastAsia="Arial" w:hAnsi="Arial"/>
          <w:sz w:val="14"/>
          <w:szCs w:val="14"/>
          <w:color w:val="auto"/>
        </w:rPr>
        <w:t>Our initial stockholders currently own an aggregate of 2,875,000 shares of Class B common stock (up to 375,000 shares of which are subject to forfeiture depending on the extent to which the underwriters’ over-allotment option is exercised), which will automatically convert into shares of Class A common stock concurrently with or immediately following the consummation of our initial business combination on a one-for-one basis, subject to the adjustments described herein.</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4"/>
          <w:szCs w:val="14"/>
          <w:color w:val="auto"/>
        </w:rPr>
        <w:t>Currently, there is no public market for our units, Class A common stock or warrants. We have applied to have our units listed</w:t>
      </w:r>
    </w:p>
    <w:p>
      <w:pPr>
        <w:spacing w:after="0" w:line="1" w:lineRule="exact"/>
        <w:rPr>
          <w:sz w:val="20"/>
          <w:szCs w:val="20"/>
          <w:color w:val="auto"/>
        </w:rPr>
      </w:pPr>
    </w:p>
    <w:p>
      <w:pPr>
        <w:ind w:left="460" w:right="499"/>
        <w:spacing w:after="0" w:line="241" w:lineRule="auto"/>
        <w:rPr>
          <w:sz w:val="20"/>
          <w:szCs w:val="20"/>
          <w:color w:val="auto"/>
        </w:rPr>
      </w:pPr>
      <w:r>
        <w:rPr>
          <w:rFonts w:ascii="Arial" w:cs="Arial" w:eastAsia="Arial" w:hAnsi="Arial"/>
          <w:sz w:val="14"/>
          <w:szCs w:val="14"/>
          <w:color w:val="auto"/>
        </w:rPr>
        <w:t>on Nasdaq Capital Market, or Nasdaq, under the symbol “[ ]” on or promptly after the date of this prospectus. We cannot guarantee that our securities will be approved for listing on Nasdaq. We expect the shares of Class A common stock and warrants comprising the units to begin separate trading on the 52</w:t>
      </w:r>
      <w:r>
        <w:rPr>
          <w:rFonts w:ascii="Arial" w:cs="Arial" w:eastAsia="Arial" w:hAnsi="Arial"/>
          <w:sz w:val="14"/>
          <w:szCs w:val="14"/>
          <w:color w:val="auto"/>
          <w:vertAlign w:val="superscript"/>
        </w:rPr>
        <w:t>nd</w:t>
      </w:r>
      <w:r>
        <w:rPr>
          <w:rFonts w:ascii="Arial" w:cs="Arial" w:eastAsia="Arial" w:hAnsi="Arial"/>
          <w:sz w:val="14"/>
          <w:szCs w:val="14"/>
          <w:color w:val="auto"/>
        </w:rPr>
        <w:t xml:space="preserve"> day following the date of this prospectus unless Jefferies LLC informs us of its decision to allow earlier separate trading, subject to our satisfaction of certain conditions. Once the securities comprising the units begin separate trading, we expect that the Class A common stock and warrants will be listed on</w:t>
      </w:r>
    </w:p>
    <w:p>
      <w:pPr>
        <w:spacing w:after="0" w:line="2" w:lineRule="exact"/>
        <w:rPr>
          <w:sz w:val="20"/>
          <w:szCs w:val="20"/>
          <w:color w:val="auto"/>
        </w:rPr>
      </w:pPr>
    </w:p>
    <w:p>
      <w:pPr>
        <w:ind w:left="460"/>
        <w:spacing w:after="0"/>
        <w:tabs>
          <w:tab w:leader="none" w:pos="2760" w:val="left"/>
          <w:tab w:leader="none" w:pos="3720" w:val="left"/>
        </w:tabs>
        <w:rPr>
          <w:sz w:val="20"/>
          <w:szCs w:val="20"/>
          <w:color w:val="auto"/>
        </w:rPr>
      </w:pPr>
      <w:r>
        <w:rPr>
          <w:rFonts w:ascii="Arial" w:cs="Arial" w:eastAsia="Arial" w:hAnsi="Arial"/>
          <w:sz w:val="14"/>
          <w:szCs w:val="14"/>
          <w:color w:val="auto"/>
        </w:rPr>
        <w:t>Nasdaq under the symbols “[</w:t>
      </w:r>
      <w:r>
        <w:rPr>
          <w:sz w:val="20"/>
          <w:szCs w:val="20"/>
          <w:color w:val="auto"/>
        </w:rPr>
        <w:tab/>
      </w:r>
      <w:r>
        <w:rPr>
          <w:rFonts w:ascii="Arial" w:cs="Arial" w:eastAsia="Arial" w:hAnsi="Arial"/>
          <w:sz w:val="14"/>
          <w:szCs w:val="14"/>
          <w:color w:val="auto"/>
        </w:rPr>
        <w:t>]” and “[</w:t>
      </w:r>
      <w:r>
        <w:rPr>
          <w:sz w:val="20"/>
          <w:szCs w:val="20"/>
          <w:color w:val="auto"/>
        </w:rPr>
        <w:tab/>
      </w:r>
      <w:r>
        <w:rPr>
          <w:rFonts w:ascii="Arial" w:cs="Arial" w:eastAsia="Arial" w:hAnsi="Arial"/>
          <w:sz w:val="14"/>
          <w:szCs w:val="14"/>
          <w:color w:val="auto"/>
        </w:rPr>
        <w:t>],” respectively.</w:t>
      </w:r>
    </w:p>
    <w:p>
      <w:pPr>
        <w:spacing w:after="0" w:line="37" w:lineRule="exact"/>
        <w:rPr>
          <w:sz w:val="20"/>
          <w:szCs w:val="20"/>
          <w:color w:val="auto"/>
        </w:rPr>
      </w:pPr>
    </w:p>
    <w:p>
      <w:pPr>
        <w:ind w:left="460" w:right="599"/>
        <w:spacing w:after="0" w:line="252" w:lineRule="auto"/>
        <w:rPr>
          <w:sz w:val="20"/>
          <w:szCs w:val="20"/>
          <w:color w:val="auto"/>
        </w:rPr>
      </w:pPr>
      <w:r>
        <w:rPr>
          <w:rFonts w:ascii="Arial" w:cs="Arial" w:eastAsia="Arial" w:hAnsi="Arial"/>
          <w:sz w:val="14"/>
          <w:szCs w:val="14"/>
          <w:b w:val="1"/>
          <w:bCs w:val="1"/>
          <w:color w:val="auto"/>
        </w:rPr>
        <w:t>We are an “emerging growth company” and “small reporting company” under applicable federal securities laws and will be subject to reduced public company reporting requirements. Investing in our securities involves a high degree of risk. See “</w:t>
      </w:r>
      <w:r>
        <w:rPr>
          <w:rFonts w:ascii="Arial" w:cs="Arial" w:eastAsia="Arial" w:hAnsi="Arial"/>
          <w:sz w:val="14"/>
          <w:szCs w:val="14"/>
          <w:b w:val="1"/>
          <w:bCs w:val="1"/>
          <w:u w:val="single" w:color="auto"/>
          <w:color w:val="auto"/>
        </w:rPr>
        <w:t>Risk Factors</w:t>
      </w:r>
      <w:r>
        <w:rPr>
          <w:rFonts w:ascii="Arial" w:cs="Arial" w:eastAsia="Arial" w:hAnsi="Arial"/>
          <w:sz w:val="14"/>
          <w:szCs w:val="14"/>
          <w:b w:val="1"/>
          <w:bCs w:val="1"/>
          <w:color w:val="auto"/>
        </w:rPr>
        <w:t>” beginning on page 29 for a discussion of information that should be considered in connection with an investment in our securities. Investors will not be entitled to protections normally afforded to investors in Rule 419 blank check offerings.</w:t>
      </w:r>
    </w:p>
    <w:p>
      <w:pPr>
        <w:spacing w:after="0" w:line="19" w:lineRule="exact"/>
        <w:rPr>
          <w:sz w:val="20"/>
          <w:szCs w:val="20"/>
          <w:color w:val="auto"/>
        </w:rPr>
      </w:pPr>
    </w:p>
    <w:p>
      <w:pPr>
        <w:ind w:left="460" w:right="779"/>
        <w:spacing w:after="0" w:line="263" w:lineRule="auto"/>
        <w:rPr>
          <w:sz w:val="20"/>
          <w:szCs w:val="20"/>
          <w:color w:val="auto"/>
        </w:rPr>
      </w:pPr>
      <w:r>
        <w:rPr>
          <w:rFonts w:ascii="Arial" w:cs="Arial" w:eastAsia="Arial" w:hAnsi="Arial"/>
          <w:sz w:val="14"/>
          <w:szCs w:val="14"/>
          <w:b w:val="1"/>
          <w:bCs w:val="1"/>
          <w:color w:val="auto"/>
        </w:rPr>
        <w:t>Neither the U.S.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92075</wp:posOffset>
            </wp:positionV>
            <wp:extent cx="5143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25" w:lineRule="exact"/>
        <w:rPr>
          <w:sz w:val="20"/>
          <w:szCs w:val="20"/>
          <w:color w:val="auto"/>
        </w:rPr>
      </w:pPr>
    </w:p>
    <w:tbl>
      <w:tblPr>
        <w:tblLayout w:type="fixed"/>
        <w:tblInd w:w="860" w:type="dxa"/>
        <w:tblCellMar>
          <w:top w:w="0" w:type="dxa"/>
          <w:left w:w="0" w:type="dxa"/>
          <w:bottom w:w="0" w:type="dxa"/>
          <w:right w:w="0" w:type="dxa"/>
        </w:tblCellMar>
      </w:tblPr>
      <w:tr>
        <w:trPr>
          <w:trHeight w:val="168"/>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PER UNIT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10"/>
              <w:spacing w:after="0"/>
              <w:rPr>
                <w:sz w:val="20"/>
                <w:szCs w:val="20"/>
                <w:color w:val="auto"/>
              </w:rPr>
            </w:pPr>
            <w:r>
              <w:rPr>
                <w:rFonts w:ascii="Arial" w:cs="Arial" w:eastAsia="Arial" w:hAnsi="Arial"/>
                <w:sz w:val="13"/>
                <w:szCs w:val="13"/>
                <w:b w:val="1"/>
                <w:bCs w:val="1"/>
                <w:color w:val="auto"/>
              </w:rPr>
              <w:t>TOTAL</w:t>
            </w:r>
          </w:p>
        </w:tc>
      </w:tr>
      <w:tr>
        <w:trPr>
          <w:trHeight w:val="30"/>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Public offering price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10.00</w:t>
            </w: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100,000,000</w:t>
            </w:r>
          </w:p>
        </w:tc>
      </w:tr>
      <w:tr>
        <w:trPr>
          <w:trHeight w:val="275"/>
        </w:trPr>
        <w:tc>
          <w:tcPr>
            <w:tcW w:w="5380" w:type="dxa"/>
            <w:vAlign w:val="bottom"/>
          </w:tcPr>
          <w:p>
            <w:pPr>
              <w:spacing w:after="0"/>
              <w:rPr>
                <w:sz w:val="20"/>
                <w:szCs w:val="20"/>
                <w:color w:val="auto"/>
              </w:rPr>
            </w:pPr>
            <w:r>
              <w:rPr>
                <w:rFonts w:ascii="Arial" w:cs="Arial" w:eastAsia="Arial" w:hAnsi="Arial"/>
                <w:sz w:val="14"/>
                <w:szCs w:val="14"/>
                <w:color w:val="auto"/>
              </w:rPr>
              <w:t>Underwriting discounts and commissions</w:t>
            </w:r>
            <w:r>
              <w:rPr>
                <w:rFonts w:ascii="Arial" w:cs="Arial" w:eastAsia="Arial" w:hAnsi="Arial"/>
                <w:sz w:val="14"/>
                <w:szCs w:val="14"/>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0.55</w:t>
            </w:r>
          </w:p>
        </w:tc>
        <w:tc>
          <w:tcPr>
            <w:tcW w:w="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5,500,000</w:t>
            </w:r>
          </w:p>
        </w:tc>
      </w:tr>
      <w:tr>
        <w:trPr>
          <w:trHeight w:val="267"/>
        </w:trPr>
        <w:tc>
          <w:tcPr>
            <w:tcW w:w="5380" w:type="dxa"/>
            <w:vAlign w:val="bottom"/>
            <w:shd w:val="clear" w:color="auto" w:fill="CCEEFF"/>
          </w:tcPr>
          <w:p>
            <w:pPr>
              <w:spacing w:after="0"/>
              <w:rPr>
                <w:sz w:val="20"/>
                <w:szCs w:val="20"/>
                <w:color w:val="auto"/>
              </w:rPr>
            </w:pPr>
            <w:r>
              <w:rPr>
                <w:rFonts w:ascii="Arial" w:cs="Arial" w:eastAsia="Arial" w:hAnsi="Arial"/>
                <w:sz w:val="14"/>
                <w:szCs w:val="14"/>
                <w:color w:val="auto"/>
              </w:rPr>
              <w:t>Proceeds, before expenses, to us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9.45</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94,500,000</w:t>
            </w:r>
          </w:p>
        </w:tc>
      </w:tr>
      <w:tr>
        <w:trPr>
          <w:trHeight w:val="25"/>
        </w:trPr>
        <w:tc>
          <w:tcPr>
            <w:tcW w:w="53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83" w:lineRule="exact"/>
        <w:rPr>
          <w:sz w:val="20"/>
          <w:szCs w:val="20"/>
          <w:color w:val="auto"/>
        </w:rPr>
      </w:pPr>
    </w:p>
    <w:p>
      <w:pPr>
        <w:ind w:left="880" w:right="479" w:hanging="426"/>
        <w:spacing w:after="0" w:line="222" w:lineRule="auto"/>
        <w:tabs>
          <w:tab w:leader="none" w:pos="812" w:val="left"/>
        </w:tabs>
        <w:numPr>
          <w:ilvl w:val="0"/>
          <w:numId w:val="2"/>
        </w:numPr>
        <w:rPr>
          <w:rFonts w:ascii="Arial" w:cs="Arial" w:eastAsia="Arial" w:hAnsi="Arial"/>
          <w:sz w:val="13"/>
          <w:szCs w:val="13"/>
          <w:color w:val="auto"/>
        </w:rPr>
      </w:pPr>
      <w:r>
        <w:rPr>
          <w:rFonts w:ascii="Arial" w:cs="Arial" w:eastAsia="Arial" w:hAnsi="Arial"/>
          <w:sz w:val="13"/>
          <w:szCs w:val="13"/>
          <w:color w:val="auto"/>
        </w:rPr>
        <w:t>$0.20 per unit, or $2,000,000 in the aggregate (or $2,300,000 if the underwriters’ over-allotment option is exercised in full), is payable upon the closing of this offering. Includes $0.35 per unit, or $3,500,000 in the aggregate (or up to $4,025,000 in the aggregate if the underwriters’ over-allotment option is exercised in full) payable to the underwriters for deferred underwriting commissions to be placed in a trust account located in the United States and released to the underwriters only upon the completion of an initial business combination. See also “Underwriting” for a description of compensation and other items of value payable to the 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113665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352" w:lineRule="exact"/>
        <w:rPr>
          <w:sz w:val="20"/>
          <w:szCs w:val="20"/>
          <w:color w:val="auto"/>
        </w:rPr>
      </w:pPr>
    </w:p>
    <w:p>
      <w:pPr>
        <w:ind w:left="460" w:right="479"/>
        <w:spacing w:after="0" w:line="244" w:lineRule="auto"/>
        <w:rPr>
          <w:sz w:val="20"/>
          <w:szCs w:val="20"/>
          <w:color w:val="auto"/>
        </w:rPr>
      </w:pPr>
      <w:r>
        <w:rPr>
          <w:rFonts w:ascii="Arial" w:cs="Arial" w:eastAsia="Arial" w:hAnsi="Arial"/>
          <w:sz w:val="14"/>
          <w:szCs w:val="14"/>
          <w:color w:val="auto"/>
        </w:rPr>
        <w:t>Of the proceeds we receive from this offering and the sale of the private placement warrants described in this prospectus, $100 million, or $115 million if the underwriters’ over-allotment option is exercised in full ($10.00 per unit in either case), will be deposited into a trust account in the United States with Continental Stock Transfer &amp; Trust Company acting as trustee, after deducting $2,000,000 in underwriting discounts and commissions payable upon the closing of this offering (or $2,300,000 if the underwriters’ over-allotment option is exercised in full) and an aggregate of $2.0 million to pay fees and expenses in connection with the closing of this offering and for working capital following the closing of this offering.</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underwriters are offering the units for sale on a firm commitment basis. The underwriters expect to deliver the units to the</w:t>
      </w:r>
    </w:p>
    <w:p>
      <w:pPr>
        <w:spacing w:after="0" w:line="1" w:lineRule="exact"/>
        <w:rPr>
          <w:sz w:val="20"/>
          <w:szCs w:val="20"/>
          <w:color w:val="auto"/>
        </w:rPr>
      </w:pPr>
    </w:p>
    <w:tbl>
      <w:tblPr>
        <w:tblLayout w:type="fixed"/>
        <w:tblInd w:w="3360" w:type="dxa"/>
        <w:tblCellMar>
          <w:top w:w="0" w:type="dxa"/>
          <w:left w:w="0" w:type="dxa"/>
          <w:bottom w:w="0" w:type="dxa"/>
          <w:right w:w="0" w:type="dxa"/>
        </w:tblCellMar>
      </w:tblPr>
      <w:tr>
        <w:trPr>
          <w:trHeight w:val="172"/>
        </w:trPr>
        <w:tc>
          <w:tcPr>
            <w:tcW w:w="1660" w:type="dxa"/>
            <w:vAlign w:val="bottom"/>
          </w:tcPr>
          <w:p>
            <w:pPr>
              <w:spacing w:after="0"/>
              <w:rPr>
                <w:sz w:val="20"/>
                <w:szCs w:val="20"/>
                <w:color w:val="auto"/>
              </w:rPr>
            </w:pPr>
            <w:r>
              <w:rPr>
                <w:rFonts w:ascii="Arial" w:cs="Arial" w:eastAsia="Arial" w:hAnsi="Arial"/>
                <w:sz w:val="14"/>
                <w:szCs w:val="14"/>
                <w:color w:val="auto"/>
              </w:rPr>
              <w:t>purchasers on or about</w:t>
            </w:r>
          </w:p>
        </w:tc>
        <w:tc>
          <w:tcPr>
            <w:tcW w:w="620" w:type="dxa"/>
            <w:vAlign w:val="bottom"/>
          </w:tcPr>
          <w:p>
            <w:pPr>
              <w:jc w:val="right"/>
              <w:spacing w:after="0"/>
              <w:rPr>
                <w:sz w:val="20"/>
                <w:szCs w:val="20"/>
                <w:color w:val="auto"/>
              </w:rPr>
            </w:pPr>
            <w:r>
              <w:rPr>
                <w:rFonts w:ascii="Arial" w:cs="Arial" w:eastAsia="Arial" w:hAnsi="Arial"/>
                <w:sz w:val="14"/>
                <w:szCs w:val="14"/>
                <w:color w:val="auto"/>
              </w:rPr>
              <w:t>, 2020.</w:t>
            </w:r>
          </w:p>
        </w:tc>
      </w:tr>
    </w:tbl>
    <w:p>
      <w:pPr>
        <w:jc w:val="center"/>
        <w:spacing w:after="0"/>
        <w:rPr>
          <w:sz w:val="20"/>
          <w:szCs w:val="20"/>
          <w:color w:val="auto"/>
        </w:rPr>
      </w:pPr>
      <w:r>
        <w:rPr>
          <w:rFonts w:ascii="Arial" w:cs="Arial" w:eastAsia="Arial" w:hAnsi="Arial"/>
          <w:sz w:val="29"/>
          <w:szCs w:val="29"/>
          <w:b w:val="1"/>
          <w:bCs w:val="1"/>
          <w:color w:val="auto"/>
        </w:rPr>
        <w:t>Jefferies</w:t>
      </w:r>
    </w:p>
    <w:p>
      <w:pPr>
        <w:spacing w:after="0" w:line="123"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246380</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93" w:right="1440" w:bottom="929"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76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Summary</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Summary Financial Data</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28</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29</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Cautionary Note Regarding Forward-Looking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59</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Use of Proceeds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60</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Dividend Policy</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63</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Dilution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64</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Capitalization</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66</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67</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Proposed Business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72</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Management</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96</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Principal Stockholders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104</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Certain Relationships and Related Party Transactions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107</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Description of Securities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109</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U.S. Federal Income Tax Considerations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125</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37">
              <w:r>
                <w:rPr>
                  <w:rFonts w:ascii="Arial" w:cs="Arial" w:eastAsia="Arial" w:hAnsi="Arial"/>
                  <w:sz w:val="18"/>
                  <w:szCs w:val="18"/>
                  <w:u w:val="single" w:color="auto"/>
                  <w:color w:val="0000EE"/>
                </w:rPr>
                <w:t>Underwriting</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133</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3"/>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Legal Matters</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141</w:t>
            </w:r>
          </w:p>
        </w:tc>
      </w:tr>
      <w:tr>
        <w:trPr>
          <w:trHeight w:val="257"/>
        </w:trPr>
        <w:tc>
          <w:tcPr>
            <w:tcW w:w="7600" w:type="dxa"/>
            <w:vAlign w:val="bottom"/>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Experts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w w:val="99"/>
              </w:rPr>
              <w:t>141</w:t>
            </w:r>
          </w:p>
        </w:tc>
      </w:tr>
      <w:tr>
        <w:trPr>
          <w:trHeight w:val="27"/>
        </w:trPr>
        <w:tc>
          <w:tcPr>
            <w:tcW w:w="760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64"/>
        </w:trPr>
        <w:tc>
          <w:tcPr>
            <w:tcW w:w="7600" w:type="dxa"/>
            <w:vAlign w:val="bottom"/>
            <w:tcBorders>
              <w:bottom w:val="single" w:sz="8" w:color="CCEEFF"/>
            </w:tcBorders>
            <w:shd w:val="clear" w:color="auto" w:fill="CCEEFF"/>
          </w:tcPr>
          <w:p>
            <w:pPr>
              <w:spacing w:after="0"/>
              <w:rPr>
                <w:rFonts w:ascii="Arial" w:cs="Arial" w:eastAsia="Arial" w:hAnsi="Arial"/>
                <w:sz w:val="18"/>
                <w:szCs w:val="18"/>
                <w:u w:val="single" w:color="auto"/>
                <w:color w:val="0000EE"/>
              </w:rPr>
            </w:pPr>
            <w:hyperlink w:anchor="page145">
              <w:r>
                <w:rPr>
                  <w:rFonts w:ascii="Arial" w:cs="Arial" w:eastAsia="Arial" w:hAnsi="Arial"/>
                  <w:sz w:val="18"/>
                  <w:szCs w:val="18"/>
                  <w:u w:val="single" w:color="auto"/>
                  <w:color w:val="0000EE"/>
                </w:rPr>
                <w:t>Where You Can Find Additional Information</w:t>
              </w:r>
            </w:hyperlink>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141</w:t>
            </w:r>
          </w:p>
        </w:tc>
      </w:tr>
      <w:tr>
        <w:trPr>
          <w:trHeight w:val="256"/>
        </w:trPr>
        <w:tc>
          <w:tcPr>
            <w:tcW w:w="7600" w:type="dxa"/>
            <w:vAlign w:val="bottom"/>
          </w:tcPr>
          <w:p>
            <w:pPr>
              <w:spacing w:after="0"/>
              <w:rPr>
                <w:rFonts w:ascii="Arial" w:cs="Arial" w:eastAsia="Arial" w:hAnsi="Arial"/>
                <w:sz w:val="18"/>
                <w:szCs w:val="18"/>
                <w:u w:val="single" w:color="auto"/>
                <w:color w:val="0000EE"/>
              </w:rPr>
            </w:pPr>
            <w:hyperlink w:anchor="page146">
              <w:r>
                <w:rPr>
                  <w:rFonts w:ascii="Arial" w:cs="Arial" w:eastAsia="Arial" w:hAnsi="Arial"/>
                  <w:sz w:val="18"/>
                  <w:szCs w:val="18"/>
                  <w:u w:val="single" w:color="auto"/>
                  <w:color w:val="0000EE"/>
                </w:rPr>
                <w:t>Index to Financial Statements</w:t>
              </w:r>
            </w:hyperlink>
          </w:p>
        </w:tc>
        <w:tc>
          <w:tcPr>
            <w:tcW w:w="500" w:type="dxa"/>
            <w:vAlign w:val="bottom"/>
          </w:tcPr>
          <w:p>
            <w:pPr>
              <w:jc w:val="center"/>
              <w:spacing w:after="0"/>
              <w:rPr>
                <w:sz w:val="20"/>
                <w:szCs w:val="20"/>
                <w:color w:val="auto"/>
              </w:rPr>
            </w:pPr>
            <w:r>
              <w:rPr>
                <w:rFonts w:ascii="Arial" w:cs="Arial" w:eastAsia="Arial" w:hAnsi="Arial"/>
                <w:sz w:val="18"/>
                <w:szCs w:val="18"/>
                <w:color w:val="auto"/>
              </w:rPr>
              <w:t>F-1</w:t>
            </w:r>
          </w:p>
        </w:tc>
      </w:tr>
    </w:tbl>
    <w:p>
      <w:pPr>
        <w:spacing w:after="0" w:line="21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We are responsible for the information contained in this prospectus. We have not, and the underwriters have not, authorized anyone to provide you with different information, and neither we nor the underwriters take responsibility for any other information others may give to you.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2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 2020, all dealers that effect transactions in these securities, whether or not participating in this offering, may be required to deliver a prospectus. This is in addition to the dealer’s obligation to deliver a prospectus when acting as an underwriter and with respect to unsold allotments or subscriptions.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66" w:lineRule="exact"/>
        <w:rPr>
          <w:sz w:val="20"/>
          <w:szCs w:val="20"/>
          <w:color w:val="auto"/>
        </w:rPr>
      </w:pPr>
    </w:p>
    <w:p>
      <w:pPr>
        <w:ind w:left="460" w:right="479"/>
        <w:spacing w:after="0" w:line="233" w:lineRule="auto"/>
        <w:rPr>
          <w:sz w:val="20"/>
          <w:szCs w:val="20"/>
          <w:color w:val="auto"/>
        </w:rPr>
      </w:pPr>
      <w:r>
        <w:rPr>
          <w:rFonts w:ascii="Arial" w:cs="Arial" w:eastAsia="Arial" w:hAnsi="Arial"/>
          <w:sz w:val="18"/>
          <w:szCs w:val="18"/>
          <w:color w:val="auto"/>
        </w:rPr>
        <w:t xml:space="preserve">This prospectus contains references to trademarks and service marks belonging to other entities. Solely for convenience, trademarks and trade names referred to in this prospectus may appear without the </w:t>
      </w:r>
      <w:r>
        <w:rPr>
          <w:rFonts w:ascii="Arial" w:cs="Arial" w:eastAsia="Arial" w:hAnsi="Arial"/>
          <w:sz w:val="20"/>
          <w:szCs w:val="20"/>
          <w:color w:val="auto"/>
          <w:vertAlign w:val="superscript"/>
        </w:rPr>
        <w:t>®</w:t>
      </w:r>
      <w:r>
        <w:rPr>
          <w:rFonts w:ascii="Arial" w:cs="Arial" w:eastAsia="Arial" w:hAnsi="Arial"/>
          <w:sz w:val="18"/>
          <w:szCs w:val="18"/>
          <w:color w:val="auto"/>
        </w:rPr>
        <w:t xml:space="preserve">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233045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023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7023100"/>
                    </a:xfrm>
                    <a:prstGeom prst="rect">
                      <a:avLst/>
                    </a:prstGeom>
                    <a:noFill/>
                  </pic:spPr>
                </pic:pic>
              </a:graphicData>
            </a:graphic>
          </wp:anchor>
        </w:drawing>
        <w:t>SUMMARY</w:t>
      </w:r>
    </w:p>
    <w:p>
      <w:pPr>
        <w:spacing w:after="0" w:line="135" w:lineRule="exact"/>
        <w:rPr>
          <w:sz w:val="20"/>
          <w:szCs w:val="20"/>
          <w:color w:val="auto"/>
        </w:rPr>
      </w:pPr>
    </w:p>
    <w:p>
      <w:pPr>
        <w:ind w:left="540" w:right="619"/>
        <w:spacing w:after="0" w:line="242"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w:t>
      </w:r>
    </w:p>
    <w:p>
      <w:pPr>
        <w:spacing w:after="0" w:line="20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8" w:lineRule="exact"/>
        <w:rPr>
          <w:sz w:val="20"/>
          <w:szCs w:val="20"/>
          <w:color w:val="auto"/>
        </w:rPr>
      </w:pPr>
    </w:p>
    <w:p>
      <w:pPr>
        <w:ind w:left="1200" w:right="1359" w:hanging="332"/>
        <w:spacing w:after="0" w:line="258"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“company” or “our company” are to FS Development Corp., a Delaware corporation;</w:t>
      </w: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are to our Class A common stock and our Class B common stock;</w:t>
      </w:r>
    </w:p>
    <w:p>
      <w:pPr>
        <w:spacing w:after="0" w:line="27" w:lineRule="exact"/>
        <w:rPr>
          <w:rFonts w:ascii="Arial" w:cs="Arial" w:eastAsia="Arial" w:hAnsi="Arial"/>
          <w:sz w:val="18"/>
          <w:szCs w:val="18"/>
          <w:color w:val="auto"/>
        </w:rPr>
      </w:pPr>
    </w:p>
    <w:p>
      <w:pPr>
        <w:ind w:left="1200" w:right="919" w:hanging="332"/>
        <w:spacing w:after="0" w:line="255"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“DGCL” refers to the Delaware General Corporation Law as the same may be amended from time to time;</w:t>
      </w: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“directors” are to our current directors and director nominees;</w:t>
      </w:r>
    </w:p>
    <w:p>
      <w:pPr>
        <w:spacing w:after="0" w:line="36" w:lineRule="exact"/>
        <w:rPr>
          <w:rFonts w:ascii="Arial" w:cs="Arial" w:eastAsia="Arial" w:hAnsi="Arial"/>
          <w:sz w:val="18"/>
          <w:szCs w:val="18"/>
          <w:color w:val="auto"/>
        </w:rPr>
      </w:pPr>
    </w:p>
    <w:p>
      <w:pPr>
        <w:ind w:left="1200" w:right="579" w:hanging="332"/>
        <w:spacing w:after="0" w:line="244"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are to shares of Class B common stock initially purchased by our sponsor in a private placement prior to this offering and the shares of Class A common stock that will be issued upon the automatic conversion of the shares of Class B common stock at the time of our initial business combination as described herein;</w:t>
      </w: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are to holders of our founder shares prior to this offering;</w:t>
      </w:r>
    </w:p>
    <w:p>
      <w:pPr>
        <w:spacing w:after="0" w:line="30" w:lineRule="exact"/>
        <w:rPr>
          <w:rFonts w:ascii="Arial" w:cs="Arial" w:eastAsia="Arial" w:hAnsi="Arial"/>
          <w:sz w:val="18"/>
          <w:szCs w:val="18"/>
          <w:color w:val="auto"/>
        </w:rPr>
      </w:pPr>
    </w:p>
    <w:p>
      <w:pPr>
        <w:ind w:left="1140" w:hanging="272"/>
        <w:spacing w:after="0"/>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executive officers and directors;</w:t>
      </w:r>
    </w:p>
    <w:p>
      <w:pPr>
        <w:spacing w:after="0" w:line="36" w:lineRule="exact"/>
        <w:rPr>
          <w:rFonts w:ascii="Arial" w:cs="Arial" w:eastAsia="Arial" w:hAnsi="Arial"/>
          <w:sz w:val="18"/>
          <w:szCs w:val="18"/>
          <w:color w:val="auto"/>
        </w:rPr>
      </w:pPr>
    </w:p>
    <w:p>
      <w:pPr>
        <w:ind w:left="1200" w:right="1359" w:hanging="332"/>
        <w:spacing w:after="0" w:line="253"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placement warrants” are to the warrants issued to our sponsor in a private placement simultaneously with the closing of this offering;</w:t>
      </w:r>
    </w:p>
    <w:p>
      <w:pPr>
        <w:ind w:left="1200" w:right="1039" w:hanging="332"/>
        <w:spacing w:after="0" w:line="270" w:lineRule="auto"/>
        <w:tabs>
          <w:tab w:leader="none" w:pos="1139"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shares” are to shares of Class A common stock sold as part of the units in this offering (whether they are purchased in this offering or thereafter in the open market);</w:t>
      </w:r>
    </w:p>
    <w:p>
      <w:pPr>
        <w:ind w:left="1200" w:right="639" w:hanging="332"/>
        <w:spacing w:after="0" w:line="242" w:lineRule="auto"/>
        <w:tabs>
          <w:tab w:leader="none" w:pos="1139"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stockholders” are to the holders of our public shares, including our initial stockholders and management team to the extent our initial stockholders and/or members of our management team purchase public shares, provided that each initial stockholder’s and member of our management team’s status as a “public stockholder” will only exist with respect to such public shares; and</w:t>
      </w:r>
    </w:p>
    <w:p>
      <w:pPr>
        <w:spacing w:after="0" w:line="9" w:lineRule="exact"/>
        <w:rPr>
          <w:rFonts w:ascii="Arial" w:cs="Arial" w:eastAsia="Arial" w:hAnsi="Arial"/>
          <w:sz w:val="18"/>
          <w:szCs w:val="18"/>
          <w:color w:val="auto"/>
        </w:rPr>
      </w:pPr>
    </w:p>
    <w:p>
      <w:pPr>
        <w:jc w:val="center"/>
        <w:ind w:left="1200" w:right="1059" w:hanging="332"/>
        <w:spacing w:after="0" w:line="296" w:lineRule="auto"/>
        <w:tabs>
          <w:tab w:leader="none" w:pos="1139"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“sponsor” are to FS Development Holdings, LLC, a Delaware limited liability company, which is controlled by Foresite Capital Fund V, L.P., the sole member of the sponsor.</w:t>
      </w:r>
    </w:p>
    <w:p>
      <w:pPr>
        <w:spacing w:after="0" w:line="157" w:lineRule="exact"/>
        <w:rPr>
          <w:sz w:val="20"/>
          <w:szCs w:val="20"/>
          <w:color w:val="auto"/>
        </w:rPr>
      </w:pPr>
    </w:p>
    <w:p>
      <w:pPr>
        <w:ind w:left="540" w:right="699"/>
        <w:spacing w:after="0"/>
        <w:rPr>
          <w:sz w:val="20"/>
          <w:szCs w:val="20"/>
          <w:color w:val="auto"/>
        </w:rPr>
      </w:pPr>
      <w:r>
        <w:rPr>
          <w:rFonts w:ascii="Arial" w:cs="Arial" w:eastAsia="Arial" w:hAnsi="Arial"/>
          <w:sz w:val="18"/>
          <w:szCs w:val="18"/>
          <w:color w:val="auto"/>
        </w:rPr>
        <w:t>Unless we tell you otherwise, the information in this prospectus assumes that the underwriters will not exercise their over-allotment option and the forfeiture of 375,000 founder shares by our initial stockholders for no consideration.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153" w:lineRule="exact"/>
        <w:rPr>
          <w:sz w:val="20"/>
          <w:szCs w:val="20"/>
          <w:color w:val="auto"/>
        </w:rPr>
      </w:pPr>
    </w:p>
    <w:p>
      <w:pPr>
        <w:ind w:left="540" w:right="619"/>
        <w:spacing w:after="0" w:line="236" w:lineRule="auto"/>
        <w:rPr>
          <w:sz w:val="20"/>
          <w:szCs w:val="20"/>
          <w:color w:val="auto"/>
        </w:rPr>
      </w:pPr>
      <w:r>
        <w:rPr>
          <w:rFonts w:ascii="Arial" w:cs="Arial" w:eastAsia="Arial" w:hAnsi="Arial"/>
          <w:sz w:val="18"/>
          <w:szCs w:val="18"/>
          <w:color w:val="auto"/>
        </w:rPr>
        <w:t>We are a newly organized blank check company incorporated in June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business industry or geographic region, we intend to capitalize on our management team’s background and experience to identify promising opportunities in the biotechnology sector.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432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343265"/>
                    </a:xfrm>
                    <a:prstGeom prst="rect">
                      <a:avLst/>
                    </a:prstGeom>
                    <a:noFill/>
                  </pic:spPr>
                </pic:pic>
              </a:graphicData>
            </a:graphic>
          </wp:anchor>
        </w:drawing>
        <w:t>OUR FOUNDERS</w:t>
      </w:r>
    </w:p>
    <w:p>
      <w:pPr>
        <w:spacing w:after="0" w:line="153" w:lineRule="exact"/>
        <w:rPr>
          <w:sz w:val="20"/>
          <w:szCs w:val="20"/>
          <w:color w:val="auto"/>
        </w:rPr>
      </w:pPr>
    </w:p>
    <w:p>
      <w:pPr>
        <w:ind w:left="540" w:right="739"/>
        <w:spacing w:after="0" w:line="238" w:lineRule="auto"/>
        <w:rPr>
          <w:sz w:val="20"/>
          <w:szCs w:val="20"/>
          <w:color w:val="auto"/>
        </w:rPr>
      </w:pPr>
      <w:r>
        <w:rPr>
          <w:rFonts w:ascii="Arial" w:cs="Arial" w:eastAsia="Arial" w:hAnsi="Arial"/>
          <w:sz w:val="18"/>
          <w:szCs w:val="18"/>
          <w:color w:val="auto"/>
        </w:rPr>
        <w:t>We were co-founded by Foresite Capital, an investment firm with over $2.6 billion in assets under management as of March 31, 2020 (”Foresite Capital”) and Jim Tananbaum, our President, Chief Executive Officer and a director. Foresite Capital, which is a member of our sponsor and is our affiliate, was established in 2011 by Jim Tananbaum and has been focused on therapeutic companies within the biotechnology sector.</w:t>
      </w:r>
    </w:p>
    <w:p>
      <w:pPr>
        <w:spacing w:after="0" w:line="135" w:lineRule="exact"/>
        <w:rPr>
          <w:sz w:val="20"/>
          <w:szCs w:val="20"/>
          <w:color w:val="auto"/>
        </w:rPr>
      </w:pPr>
    </w:p>
    <w:p>
      <w:pPr>
        <w:ind w:left="540" w:right="559"/>
        <w:spacing w:after="0" w:line="236" w:lineRule="auto"/>
        <w:rPr>
          <w:sz w:val="20"/>
          <w:szCs w:val="20"/>
          <w:color w:val="auto"/>
        </w:rPr>
      </w:pPr>
      <w:r>
        <w:rPr>
          <w:rFonts w:ascii="Arial" w:cs="Arial" w:eastAsia="Arial" w:hAnsi="Arial"/>
          <w:sz w:val="18"/>
          <w:szCs w:val="18"/>
          <w:color w:val="auto"/>
        </w:rPr>
        <w:t>Since its establishment, Foresite Capital has led financings in numerous healthcare companies that have emerged or are emerging as leaders in their respective sectors of the healthcare economy using a systematic process for screening and evaluating potential investments that was designed to quickly identify compelling opportunities and eliminate unattractive opportunities as effectively as possible. We believe Foresite Capital’s combination of traditional investment management techniques with cutting edge tools and methods, its experience in multiple scientific fields (including biology, medicinal chemistry, physiology and pharmacology) and related areas (including reimbursement strategies, regulatory frameworks and processes) and its ability to collect and synthesize significant amounts of information (including academic research, medical journals, medical conference presentations, patent filings, regulatory actions and legal proceedings) and data (including genomic, clinical trial, laboratory, electronic health records, claims/billing, imaging and pathology) will provide us with deep functional expertise and diverse skill sets and contribute insights to each stage of the investment process.</w:t>
      </w:r>
    </w:p>
    <w:p>
      <w:pPr>
        <w:spacing w:after="0" w:line="135"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color w:val="auto"/>
        </w:rPr>
        <w:t>As an affiliate of Foresite Capital, we intend to draw upon its experience and networks, team-based and multidisciplinary investment process and substantial information resources to optimize the sourcing, evaluation, and growth acceleration of prospective target companies. We believe that Foresite Capital’s track record demonstrates the ability of the members of our management team and affiliates to find high quality investment opportunities and achieve liquidity in such investments. Foresite Capital considers investments in hundreds of companies each year and, since inception, has invested in 229 companies in various financing rounds, which can be summarized as follows:</w:t>
      </w:r>
    </w:p>
    <w:p>
      <w:pPr>
        <w:spacing w:after="0" w:line="14" w:lineRule="exact"/>
        <w:rPr>
          <w:sz w:val="20"/>
          <w:szCs w:val="20"/>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179 biotechnology companies;</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30 crossover investments;</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28 IPOs following crossover investments; and</w:t>
      </w:r>
    </w:p>
    <w:p>
      <w:pPr>
        <w:spacing w:after="0" w:line="22" w:lineRule="exact"/>
        <w:rPr>
          <w:rFonts w:ascii="Arial" w:cs="Arial" w:eastAsia="Arial" w:hAnsi="Arial"/>
          <w:sz w:val="18"/>
          <w:szCs w:val="18"/>
          <w:color w:val="auto"/>
        </w:rPr>
      </w:pPr>
    </w:p>
    <w:p>
      <w:pPr>
        <w:ind w:left="1140" w:hanging="27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95 IPOs.</w:t>
      </w:r>
    </w:p>
    <w:p>
      <w:pPr>
        <w:spacing w:after="0" w:line="144" w:lineRule="exact"/>
        <w:rPr>
          <w:sz w:val="20"/>
          <w:szCs w:val="20"/>
          <w:color w:val="auto"/>
        </w:rPr>
      </w:pPr>
    </w:p>
    <w:p>
      <w:pPr>
        <w:ind w:left="540" w:right="959"/>
        <w:spacing w:after="0" w:line="246" w:lineRule="auto"/>
        <w:rPr>
          <w:sz w:val="20"/>
          <w:szCs w:val="20"/>
          <w:color w:val="auto"/>
        </w:rPr>
      </w:pPr>
      <w:r>
        <w:rPr>
          <w:rFonts w:ascii="Arial" w:cs="Arial" w:eastAsia="Arial" w:hAnsi="Arial"/>
          <w:sz w:val="18"/>
          <w:szCs w:val="18"/>
          <w:color w:val="auto"/>
        </w:rPr>
        <w:t>We believe that biotechnology companies at the correct stage of development will see material benefits from being publicly traded.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INVESTMENT PROCESS AND COMPETITIVE ADVANTAGES</w:t>
      </w:r>
    </w:p>
    <w:p>
      <w:pPr>
        <w:spacing w:after="0" w:line="166" w:lineRule="exact"/>
        <w:rPr>
          <w:sz w:val="20"/>
          <w:szCs w:val="20"/>
          <w:color w:val="auto"/>
        </w:rPr>
      </w:pPr>
    </w:p>
    <w:p>
      <w:pPr>
        <w:ind w:left="540" w:right="599"/>
        <w:spacing w:after="0" w:line="236" w:lineRule="auto"/>
        <w:rPr>
          <w:sz w:val="20"/>
          <w:szCs w:val="20"/>
          <w:color w:val="auto"/>
        </w:rPr>
      </w:pPr>
      <w:r>
        <w:rPr>
          <w:rFonts w:ascii="Arial" w:cs="Arial" w:eastAsia="Arial" w:hAnsi="Arial"/>
          <w:sz w:val="18"/>
          <w:szCs w:val="18"/>
          <w:color w:val="auto"/>
        </w:rPr>
        <w:t>Since its inception, Foresite Capital has been developing what we believe to be a state-of-the-art information management system and analytical framework designed to capture, store and surface critical information that impacts target markets and companies when it is most useful. In addition to capturing and synthesizing external sources of information, Foresite Capital seeks to capture every material interaction with prospective and existing portfolio companies. Members of Foresite Capital’s investment team receive structured, detailed notes and updates (such as refined product development timelines and revised probabilities of technical success) from these interactions, which also flow to the firm’s detailed financial and investment models. We believe that access to Foresite Capital’s internal database of every company that it has interacted with since inception will provide a competitive advantage to identifying opportunities for the initial business combination.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MANAGEMENT TEAM</w:t>
      </w:r>
    </w:p>
    <w:p>
      <w:pPr>
        <w:spacing w:after="0" w:line="153" w:lineRule="exact"/>
        <w:rPr>
          <w:sz w:val="20"/>
          <w:szCs w:val="20"/>
          <w:color w:val="auto"/>
        </w:rPr>
      </w:pPr>
    </w:p>
    <w:p>
      <w:pPr>
        <w:ind w:left="540" w:right="859"/>
        <w:spacing w:after="0" w:line="238" w:lineRule="auto"/>
        <w:rPr>
          <w:sz w:val="20"/>
          <w:szCs w:val="20"/>
          <w:color w:val="auto"/>
        </w:rPr>
      </w:pPr>
      <w:r>
        <w:rPr>
          <w:rFonts w:ascii="Arial" w:cs="Arial" w:eastAsia="Arial" w:hAnsi="Arial"/>
          <w:sz w:val="18"/>
          <w:szCs w:val="18"/>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113" w:lineRule="exact"/>
        <w:rPr>
          <w:sz w:val="20"/>
          <w:szCs w:val="20"/>
          <w:color w:val="auto"/>
        </w:rPr>
      </w:pPr>
    </w:p>
    <w:p>
      <w:pPr>
        <w:ind w:left="540" w:right="579"/>
        <w:spacing w:after="0" w:line="244" w:lineRule="auto"/>
        <w:rPr>
          <w:sz w:val="20"/>
          <w:szCs w:val="20"/>
          <w:color w:val="auto"/>
        </w:rPr>
      </w:pPr>
      <w:r>
        <w:rPr>
          <w:rFonts w:ascii="Arial" w:cs="Arial" w:eastAsia="Arial" w:hAnsi="Arial"/>
          <w:sz w:val="18"/>
          <w:szCs w:val="18"/>
          <w:b w:val="1"/>
          <w:bCs w:val="1"/>
          <w:color w:val="auto"/>
        </w:rPr>
        <w:t>Dr. Jim Tananbaum</w:t>
      </w:r>
      <w:r>
        <w:rPr>
          <w:rFonts w:ascii="Arial" w:cs="Arial" w:eastAsia="Arial" w:hAnsi="Arial"/>
          <w:sz w:val="18"/>
          <w:szCs w:val="18"/>
          <w:color w:val="auto"/>
        </w:rPr>
        <w:t>, President, Chief Executive Officer and Director. Dr. Jim Tananbaum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our President, Chief Executive Officer and a director since June 2020. He founded Foresite Capital in 2011 and has overseen the development of Foresite Capital’s team and systems. While at Harvard Business School in 1991, Dr. Tananbaum co-founded his first company, GelTex Pharmaceuticals (Nasdaq: GENZ). GelTex ultimately brought two drugs to</w:t>
      </w:r>
    </w:p>
    <w:p>
      <w:pPr>
        <w:sectPr>
          <w:pgSz w:w="11900" w:h="16838" w:orient="portrait"/>
          <w:cols w:equalWidth="0" w:num="1">
            <w:col w:w="9019"/>
          </w:cols>
          <w:pgMar w:left="1440" w:top="535" w:right="1440"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6" w:name="page7"/>
    <w:bookmarkEnd w:id="6"/>
    <w:p>
      <w:pPr>
        <w:ind w:left="540" w:right="639"/>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977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977630"/>
                    </a:xfrm>
                    <a:prstGeom prst="rect">
                      <a:avLst/>
                    </a:prstGeom>
                    <a:noFill/>
                  </pic:spPr>
                </pic:pic>
              </a:graphicData>
            </a:graphic>
          </wp:anchor>
        </w:drawing>
        <w:t>market, and the company was acquired by Genzyme Corporation in 2000 for $1.4 billion. From 1991 to 1994, Dr. Tananbaum worked at Merck in marketing and had product management responsibilities for Prilosec. In 1994, Dr. Tananbaum decided to leave Merck and join Sierra Ventures, to start Sierra Ventures’ healthcare services investment practice. At Sierra Ventures, Dr. Tananbaum was responsible for leading the firm’s investments in Amerigroup (now Anthem Medicaid division) and Healtheon/WebMD, among others. In 1997, he cofounded his second company, Theravance, Inc. (initially called “Advanced Medicine”). As the founding CEO of Theravance, Dr. Tananbaum hired the company’s first approximately 175 employees and raised over $350 million of private capital. Theravance has since split into two companies, one of which is now part of GlaxoSmithKline’s respiratory franchise through a joint venture, Innoviva (Nasdaq: INVA), and the other, Theravance BioPharma, Inc. (Nasdaq: TBPH). Together, they have a combined market capitalization of $2.4 billion as of January 1, 2020. In 2000, Dr. Tananbaum co-founded Prospect Ventures II (and later III), which raised and deployed approximately $1 billion. During his time at Prospect, Dr. Tananbaum led numerous financings including Jazz Pharmaceuticals and Amira Pharmaceauticals. In 2010, Dr. Tananbaum decided to leave Prospect Ventures to create Foresite Capital. He sought to construct, from the ground up, an investment platform designed and optimized to invest specifically and exclusively in the modern health economy, based on his learnings and observations as a healthcare investor and entrepreneur over the preceding two decades. Dr. Tananbaum earned a BS and BSEE in applied math and electrical engineering/computer science from Yale, an MD from the Harvard-MIT HST program and an MBA from Harvard.</w:t>
      </w:r>
    </w:p>
    <w:p>
      <w:pPr>
        <w:spacing w:after="0" w:line="123"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b w:val="1"/>
          <w:bCs w:val="1"/>
          <w:color w:val="auto"/>
        </w:rPr>
        <w:t>Dennis Ryan</w:t>
      </w:r>
      <w:r>
        <w:rPr>
          <w:rFonts w:ascii="Arial" w:cs="Arial" w:eastAsia="Arial" w:hAnsi="Arial"/>
          <w:sz w:val="18"/>
          <w:szCs w:val="18"/>
          <w:color w:val="auto"/>
        </w:rPr>
        <w:t>, Chief Financial Officer. Dennis Ryan has been our Chief Financial Officer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Since 2011, Mr. Ryan has also led the Operations Group at Foresite Capital as Chief Financial Officer and Managing Director. Mr. Ryan has over thirty years of experience as a financial executive in the venture capital, private equity, investment and real estate industries. Mr. Ryan began his career with the international accounting firm KPMG (Peat, Marwick &amp; Mitchell). As a licensed certified public accountant (CPA - inactive) in California, Mr. Ryan has served as chief financial officer and senior executive in firms ranging from a publicly owned real estate investment trust (REIT), Western Properties Trust, to a sponsor of a series of venture debt funds, Lighthouse Capital Partners, to a start-up of investment funds, Berkeley Advisors Group. In his role as chief financial officer with these firms, his responsibilities included debt and equity financing, investment structuring, financial reporting, portfolio management and strategic planning. Mr. Ryan currently serves as Board President of Whistlestop, a non-profit providing transportation and nutrition services to seniors. He received a B.A. from University of California, Berkeley in Economics, and an M.B.A from the University of Santa Clara.</w:t>
      </w:r>
    </w:p>
    <w:p>
      <w:pPr>
        <w:spacing w:after="0" w:line="122"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b w:val="1"/>
          <w:bCs w:val="1"/>
          <w:color w:val="auto"/>
        </w:rPr>
        <w:t>Dr. Michael Rome</w:t>
      </w:r>
      <w:r>
        <w:rPr>
          <w:rFonts w:ascii="Arial" w:cs="Arial" w:eastAsia="Arial" w:hAnsi="Arial"/>
          <w:sz w:val="18"/>
          <w:szCs w:val="18"/>
          <w:color w:val="auto"/>
        </w:rPr>
        <w:t>, Vice President and Director. Dr. Michael Rome has been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and a director on our board of directors since June 2020, and is a Managing Director at Foresite Capital. He joined Foresite Capital in 2016 and is active in the firm’s public and private market investments. Dr. Rome has experience investing across diverse therapeutic areas and has board roles at Kinnate Biopharma, Phavaris B.V., and board observer roles (past and present) at Turning Point Therapeutics, Arcus Biosciences, Maze Therapeutics, and PACT Pharma. Prior to Foresite Capital from 2015 to 2016, he was an equity analyst at DAFNA Capital Management, a long-short healthcare hedge fund, where he analyzed fund positions and formulated investment ideas in small/midcap biotechnology companies. From 2014 to 2015, Dr. Rome worked in early-stage drug development for an academic start-up out of the California NanoSystems Institute at UCLA. He received his Ph.D. in Biochemistry from Caltech as an NSF graduate research fellow, and his B.S. in Molecular, Cell and Developmental Biology from UCLA. He has more than 12 years of experience as a research scientist and has authored numerous publications in top-tier biomedical research journals.</w:t>
      </w:r>
    </w:p>
    <w:p>
      <w:pPr>
        <w:spacing w:after="0" w:line="108" w:lineRule="exact"/>
        <w:rPr>
          <w:sz w:val="20"/>
          <w:szCs w:val="20"/>
          <w:color w:val="auto"/>
        </w:rPr>
      </w:pPr>
    </w:p>
    <w:p>
      <w:pPr>
        <w:ind w:left="540" w:right="599"/>
        <w:spacing w:after="0" w:line="237" w:lineRule="auto"/>
        <w:rPr>
          <w:sz w:val="20"/>
          <w:szCs w:val="20"/>
          <w:color w:val="auto"/>
        </w:rPr>
      </w:pPr>
      <w:r>
        <w:rPr>
          <w:rFonts w:ascii="Arial" w:cs="Arial" w:eastAsia="Arial" w:hAnsi="Arial"/>
          <w:sz w:val="18"/>
          <w:szCs w:val="18"/>
          <w:b w:val="1"/>
          <w:bCs w:val="1"/>
          <w:color w:val="auto"/>
        </w:rPr>
        <w:t>Dr. Vikram Bajaj</w:t>
      </w:r>
      <w:r>
        <w:rPr>
          <w:rFonts w:ascii="Arial" w:cs="Arial" w:eastAsia="Arial" w:hAnsi="Arial"/>
          <w:sz w:val="18"/>
          <w:szCs w:val="18"/>
          <w:color w:val="auto"/>
        </w:rPr>
        <w:t>, Director. Dr. Vikram Bajaj has been a director on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 and is a Managing Director at Foresite Capital, evaluating and pursuing investments at the intersection of technology and life sciences, including personalized and precision healthcare. Prior to joining Foresite Capital, from 2016 to 2017, Dr. Bajaj was the Chief Scientific Officer of GRAIL, a life sciences company working to detect cancer early when it can be cured, and served on its Scientific Advisory Board. He is also the Co-Founder and former Chief Scientific officer of Verily (formerly Google Life Sciences) from 2013 to 2016, and served as Chair of its Scientific Advisory Board. A former academic principal investigator, Dr. Bajaj retains appointments as Associate Professor (Consulting) at the Stanford School of Medicine, and as an Affiliate Scientist of the Lawrence Berkeley National Laboratory and the University of California, Berkeley, for which he currently serves on the advisory board of the College of Chemistry. He is also currently an advisor to the Department of Defense through the Defense Science Board’s Task Force on Biology. Dr. Bajaj received a Ph.D. in physical chemistry from the Massachusetts Institute of Technology. His scientific and engineering awards include the Anatole Abragam Prize (2012), the R&amp;D 100 Award for the most promising commercialized technologies (2011 and 2013), and the Department of Energy’s LBL Innovation Grant (2013).</w:t>
      </w:r>
    </w:p>
    <w:p>
      <w:pPr>
        <w:sectPr>
          <w:pgSz w:w="11900" w:h="16838" w:orient="portrait"/>
          <w:cols w:equalWidth="0" w:num="1">
            <w:col w:w="9019"/>
          </w:cols>
          <w:pgMar w:left="1440" w:top="476" w:right="1440"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type w:val="continuous"/>
        </w:sectPr>
      </w:pPr>
    </w:p>
    <w:bookmarkStart w:id="7" w:name="page8"/>
    <w:bookmarkEnd w:id="7"/>
    <w:p>
      <w:pPr>
        <w:ind w:left="540" w:right="559"/>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944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694420"/>
                    </a:xfrm>
                    <a:prstGeom prst="rect">
                      <a:avLst/>
                    </a:prstGeom>
                    <a:noFill/>
                  </pic:spPr>
                </pic:pic>
              </a:graphicData>
            </a:graphic>
          </wp:anchor>
        </w:drawing>
        <w:t>Our management team will also be supported by certain of Foresite Capital’s team of investment professionals, who will also serve as our non-executive officers and will assist us in our efforts to consummate our initial business combination, including Dr. Dorothy Margolskee, our Senior Advisor and a Managing Director of Foresite Capital. Dr. Margolskee joined Foresite Capital in 2012 and has overseen the development of Foresite Capital’s Clinical &amp; Research Analysis team. Dr. Margolskee has worked with Dr. Tananbaum for the last 17.5 years, previously at Prospect Ventures as a managing director in charge of research from 2001 to 2011, and now at Foresite Capital. In this capacity, she developed the Foresite Capital investment technical review process, rigorously analyzing biotechnology company portfolios on the basis of scientific validation, clinical efficacy and safety, manufacturing readiness and FDA regulatory risk. Dr. Margolskee had 15 years of drug development experience at Merck Research Labs from 1987 to 2001, ultimately becoming a senior vice president with responsibility for a wide variety of clinical development programs and project planning. In particular, she was deeply involved in the design and execution of several vaccine programs, including Gardisil, RotaTeq and Zostavax. Dr. Margolskee received an MRL Divisional Scientific Award in 1998 for developing one of Merck’s most successful drugs, Singulair. In addition, she led the team that designed and implemented the advanced AIDS program during the development of Crixivan, one of the first HIV protease inhibitors that revolutionized the treatment of HIV infection. Prior to joining Merck, Dr. Margolskee received an M.D. from Johns Hopkins Medical School where she was elected to Alpha Omega Alpha and a B.S. from Harvard University where she graduated summa cum laude. Dr. Margolskee is boarded in both Internal Medicine and Pulmonary, and completed her residency at the Johns Hopkins Hospital and fellowship training at UCSF.</w:t>
      </w:r>
    </w:p>
    <w:p>
      <w:pPr>
        <w:spacing w:after="0" w:line="145"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OPPORTUNITY</w:t>
      </w:r>
    </w:p>
    <w:p>
      <w:pPr>
        <w:spacing w:after="0" w:line="166" w:lineRule="exact"/>
        <w:rPr>
          <w:sz w:val="20"/>
          <w:szCs w:val="20"/>
          <w:color w:val="auto"/>
        </w:rPr>
      </w:pPr>
    </w:p>
    <w:p>
      <w:pPr>
        <w:ind w:left="540" w:right="579"/>
        <w:spacing w:after="0" w:line="235" w:lineRule="auto"/>
        <w:rPr>
          <w:sz w:val="20"/>
          <w:szCs w:val="20"/>
          <w:color w:val="auto"/>
        </w:rPr>
      </w:pPr>
      <w:r>
        <w:rPr>
          <w:rFonts w:ascii="Arial" w:cs="Arial" w:eastAsia="Arial" w:hAnsi="Arial"/>
          <w:sz w:val="18"/>
          <w:szCs w:val="18"/>
          <w:color w:val="auto"/>
        </w:rPr>
        <w:t>Our primary focus will be on the healthcare industry in the United States. We believe the healthcare industry, particularly the biotechnology sector, represents an enormous and growing target market with a large number of potential target acquisition opportunities. Overall, total U.S. national health expenditures currently exceed $3.6 trillion according to the Centers for Medicare and Medicaid Services, which also estimates that total healthcare spending will approach 20% of total U.S. Gross Domestic Product in 2028. In addition to these industry-wide dynamics in healthcare, specifically within biotechnology sector, the past decade has seen a shift in the research and development strategy of the Big Pharma companies to external innovation through licensing partnerships and strategic acquisitions, resulting in 1,195 M&amp;A transactions totaling $801 billion from 2015 to 2019 according to Evaluate Pharma, a data-driven pharma, biotechnology and medtech consultant. Furthermore, there has been a gradual increase in US Food and Drugs Administration (FDA) approval of new drugs, from 163 approvals between 2010 and 2014 to 220 approvals between 2015 and 2019. Total sales of prescription drugs worldwide were $843 billion in 2019 according to Evaluate Pharma. We believe that these trends present a favorable opportunity for investors in preclinical to pre-commercial companies within the biotechnology sector, which is where Foresite Capital has largely focused since inception.</w:t>
      </w:r>
    </w:p>
    <w:p>
      <w:pPr>
        <w:spacing w:after="0" w:line="132"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We believe that there are major benefits for privately-held, pre-commercial stage biotechnology companies to become publicly-traded, including greater access to capital, broader investor base, more liquid securities, and increased market awareness. An acquisition by a special purpose acquisition company with a management team that is well-known and respected by biotechnology company founders, their investors, and management teams, we believe, will become a preferred route for a high quality private healthcare company to access the public markets. Furthermore, we believe that market volatility caused by the COVID-19 pandemic is likely to make such an on-ramp to the public markets even more attractive to private companies, as it promises more certainty about deal completion, a more efficient path to the public markets, and a defined investor base.</w:t>
      </w:r>
    </w:p>
    <w:p>
      <w:pPr>
        <w:spacing w:after="0" w:line="139" w:lineRule="exact"/>
        <w:rPr>
          <w:sz w:val="20"/>
          <w:szCs w:val="20"/>
          <w:color w:val="auto"/>
        </w:rPr>
      </w:pPr>
    </w:p>
    <w:p>
      <w:pPr>
        <w:ind w:left="540" w:right="619"/>
        <w:spacing w:after="0" w:line="238" w:lineRule="auto"/>
        <w:rPr>
          <w:sz w:val="20"/>
          <w:szCs w:val="20"/>
          <w:color w:val="auto"/>
        </w:rPr>
      </w:pPr>
      <w:r>
        <w:rPr>
          <w:rFonts w:ascii="Arial" w:cs="Arial" w:eastAsia="Arial" w:hAnsi="Arial"/>
          <w:sz w:val="18"/>
          <w:szCs w:val="18"/>
          <w:color w:val="auto"/>
        </w:rPr>
        <w:t>In addition, we believe that the current state of the biotechnology IPO market may enhance our ability to locate an attractive target. According to IBISWorld, in 2019, there were estimated to be approximately 9,500 biotechnology companies globally, only a fraction of which are publicly traded. These privately held biotechnology companies</w:t>
      </w:r>
    </w:p>
    <w:p>
      <w:pPr>
        <w:sectPr>
          <w:pgSz w:w="11900" w:h="16838" w:orient="portrait"/>
          <w:cols w:equalWidth="0" w:num="1">
            <w:col w:w="9019"/>
          </w:cols>
          <w:pgMar w:left="1440" w:top="476" w:right="1440"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type w:val="continuous"/>
        </w:sectPr>
      </w:pPr>
    </w:p>
    <w:bookmarkStart w:id="8" w:name="page9"/>
    <w:bookmarkEnd w:id="8"/>
    <w:p>
      <w:pPr>
        <w:ind w:left="540" w:right="559"/>
        <w:spacing w:after="0" w:line="25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88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188960"/>
                    </a:xfrm>
                    <a:prstGeom prst="rect">
                      <a:avLst/>
                    </a:prstGeom>
                    <a:noFill/>
                  </pic:spPr>
                </pic:pic>
              </a:graphicData>
            </a:graphic>
          </wp:anchor>
        </w:drawing>
        <w:t>represent an enormous investment opportunity, and recent trends in equity capital markets continue to demonstrate their desire to access public capital. Since 2015, approximately $170 billion has been raised in the public equity markets by biotechnology companies, of which approximately $30 billion has been raised through IPOs by approximately 250 biotechnology companies.</w:t>
      </w:r>
    </w:p>
    <w:p>
      <w:pPr>
        <w:spacing w:after="0" w:line="121" w:lineRule="exact"/>
        <w:rPr>
          <w:sz w:val="20"/>
          <w:szCs w:val="20"/>
          <w:color w:val="auto"/>
        </w:rPr>
      </w:pPr>
    </w:p>
    <w:p>
      <w:pPr>
        <w:ind w:left="540" w:right="619"/>
        <w:spacing w:after="0" w:line="237" w:lineRule="auto"/>
        <w:rPr>
          <w:sz w:val="20"/>
          <w:szCs w:val="20"/>
          <w:color w:val="auto"/>
        </w:rPr>
      </w:pPr>
      <w:r>
        <w:rPr>
          <w:rFonts w:ascii="Arial" w:cs="Arial" w:eastAsia="Arial" w:hAnsi="Arial"/>
          <w:sz w:val="18"/>
          <w:szCs w:val="18"/>
          <w:color w:val="auto"/>
        </w:rPr>
        <w:t>We believe that there is tremendous investor demand for IPOs in the biotechnology sector and that the COVID-19 pandemic has led to a renewed appreciation of the critical contributions the biotechnology sector makes to society, which in turn will continue to fuel investor demand. Given our sponsor’s track record of identifying, evaluating, and investing in leading biotechnology companies, we believe a business combination target we identify will benefit by partnering with us to go public.</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ACQUISITION STRATEGY</w:t>
      </w:r>
    </w:p>
    <w:p>
      <w:pPr>
        <w:spacing w:after="0" w:line="166"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As Foresite Capital’s affiliate, we will benefit from our access to Foresite Capital’s infrastructure, personnel, network and relationships. Foresite Capital’s investment team is in regular contact with entrepreneurs, key opinion leaders, management teams, and contacts in the venture capital and investment banking communities to source new deals. Our robust screening and due diligence process includes numerous meetings or calls with management and leverages Foresite’s expansive network of key opinion leaders, healthcare company executives, entrepreneurs and leading academics. Foresite Capital has invested heavily in its team, information management systems and data science infrastructure, which we expect will provide us with substantial sourcing and analytical capabilities, as well as other capabilities (including clinical development, translational medicine, chemistry, biostatistics and data science) that would ordinarily be outsourced to specialized third-party consultants. Prospective target companies will need to pass rigorous due diligence criteria, which may include, but are not limited to:</w:t>
      </w:r>
    </w:p>
    <w:p>
      <w:pPr>
        <w:spacing w:after="0" w:line="15" w:lineRule="exact"/>
        <w:rPr>
          <w:sz w:val="20"/>
          <w:szCs w:val="20"/>
          <w:color w:val="auto"/>
        </w:rPr>
      </w:pPr>
    </w:p>
    <w:p>
      <w:pPr>
        <w:ind w:left="1140" w:hanging="27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Compelling risk/reward proposition;</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market leading product;</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Addressing unmet medical need;</w:t>
      </w:r>
    </w:p>
    <w:p>
      <w:pPr>
        <w:spacing w:after="0" w:line="22" w:lineRule="exact"/>
        <w:rPr>
          <w:rFonts w:ascii="Arial" w:cs="Arial" w:eastAsia="Arial" w:hAnsi="Arial"/>
          <w:sz w:val="18"/>
          <w:szCs w:val="18"/>
          <w:color w:val="auto"/>
        </w:rPr>
      </w:pPr>
    </w:p>
    <w:p>
      <w:pPr>
        <w:jc w:val="both"/>
        <w:ind w:left="1200" w:right="939" w:hanging="332"/>
        <w:spacing w:after="0"/>
        <w:tabs>
          <w:tab w:leader="none" w:pos="1139"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team that is ready for the public market (our management team has often previously worked with or known management of many of the companies in which they invest);</w:t>
      </w:r>
    </w:p>
    <w:p>
      <w:pPr>
        <w:spacing w:after="0" w:line="27" w:lineRule="exact"/>
        <w:rPr>
          <w:rFonts w:ascii="Arial" w:cs="Arial" w:eastAsia="Arial" w:hAnsi="Arial"/>
          <w:sz w:val="18"/>
          <w:szCs w:val="18"/>
          <w:color w:val="auto"/>
        </w:rPr>
      </w:pPr>
    </w:p>
    <w:p>
      <w:pPr>
        <w:ind w:left="1140" w:hanging="27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Multiple assets to create value, looking for multiple shots on goal; and</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Top science and clinical leadership.</w:t>
      </w:r>
    </w:p>
    <w:p>
      <w:pPr>
        <w:spacing w:after="0" w:line="131" w:lineRule="exact"/>
        <w:rPr>
          <w:sz w:val="20"/>
          <w:szCs w:val="20"/>
          <w:color w:val="auto"/>
        </w:rPr>
      </w:pPr>
    </w:p>
    <w:p>
      <w:pPr>
        <w:ind w:left="540" w:right="559"/>
        <w:spacing w:after="0" w:line="235" w:lineRule="auto"/>
        <w:rPr>
          <w:sz w:val="20"/>
          <w:szCs w:val="20"/>
          <w:color w:val="auto"/>
        </w:rPr>
      </w:pPr>
      <w:r>
        <w:rPr>
          <w:rFonts w:ascii="Arial" w:cs="Arial" w:eastAsia="Arial" w:hAnsi="Arial"/>
          <w:sz w:val="18"/>
          <w:szCs w:val="18"/>
          <w:color w:val="auto"/>
        </w:rPr>
        <w:t>Foresite Capital has carefully curated a multidisciplinary investment team with deep, diverse and complementary experience in order to identify emerging leaders across the health economy, develop comprehensive, 360-degree views of companies and their unique risks, and help portfolio companies achieve technical success and reach liquidity. We believe that this purpose-built structure and process reduces biases and asymmetric information flows that may hamper decisions to enter and exit investments in traditional fund structures. Our management team, through its members’ shared experience at Foresite Capital, has significant and coordinated expertise including: (1) clinical and product development experience, which enables deep understanding and evaluation of every aspect of development and regulatory processes; (2) comprehensive commercialization experience across multiple healthcare sectors, which allows the team to evaluate the entire lifecycle of product launch and market adoption, as well as opportunities and structures for partnership and acquisitions; and (3) broad financing experience across investment banking, buy-side investing and venture capital and private equity investing, which enables the team to evaluate IPO and buyout opportunities and structure terms based on a deep understanding of the entire financing lifecycle.</w:t>
      </w:r>
    </w:p>
    <w:p>
      <w:pPr>
        <w:spacing w:after="0" w:line="14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Acquisition and Diligence Process includes:</w:t>
      </w:r>
    </w:p>
    <w:p>
      <w:pPr>
        <w:spacing w:after="0" w:line="36" w:lineRule="exact"/>
        <w:rPr>
          <w:sz w:val="20"/>
          <w:szCs w:val="20"/>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Scientific and clinical analysis, with assessment of clinical and regulatory success factors;</w:t>
      </w:r>
    </w:p>
    <w:p>
      <w:pPr>
        <w:spacing w:after="0" w:line="22" w:lineRule="exact"/>
        <w:rPr>
          <w:rFonts w:ascii="Arial" w:cs="Arial" w:eastAsia="Arial" w:hAnsi="Arial"/>
          <w:sz w:val="18"/>
          <w:szCs w:val="18"/>
          <w:color w:val="auto"/>
        </w:rPr>
      </w:pPr>
    </w:p>
    <w:p>
      <w:pPr>
        <w:ind w:left="1200" w:right="799" w:hanging="332"/>
        <w:spacing w:after="0" w:line="246" w:lineRule="auto"/>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Review of market factors such as size, growth opportunity, competition, and development trends;</w:t>
      </w:r>
    </w:p>
    <w:p>
      <w:pPr>
        <w:spacing w:after="0" w:line="21"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Reimbursement review;</w:t>
      </w:r>
    </w:p>
    <w:p>
      <w:pPr>
        <w:spacing w:after="0" w:line="36"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 review of proprietary technology content and intellectual property;</w:t>
      </w:r>
    </w:p>
    <w:p>
      <w:pPr>
        <w:spacing w:after="0" w:line="22" w:lineRule="exact"/>
        <w:rPr>
          <w:rFonts w:ascii="Arial" w:cs="Arial" w:eastAsia="Arial" w:hAnsi="Arial"/>
          <w:sz w:val="18"/>
          <w:szCs w:val="18"/>
          <w:color w:val="auto"/>
        </w:rPr>
      </w:pPr>
    </w:p>
    <w:p>
      <w:pPr>
        <w:ind w:left="1140" w:hanging="272"/>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Interviews with key opinion leaders, customers, competitors and industry experts;</w:t>
      </w:r>
    </w:p>
    <w:p>
      <w:pPr>
        <w:spacing w:after="0" w:line="36" w:lineRule="exact"/>
        <w:rPr>
          <w:rFonts w:ascii="Arial" w:cs="Arial" w:eastAsia="Arial" w:hAnsi="Arial"/>
          <w:sz w:val="18"/>
          <w:szCs w:val="18"/>
          <w:color w:val="auto"/>
        </w:rPr>
      </w:pPr>
    </w:p>
    <w:p>
      <w:pPr>
        <w:ind w:left="1200" w:right="1059" w:hanging="332"/>
        <w:spacing w:after="0" w:line="246" w:lineRule="auto"/>
        <w:tabs>
          <w:tab w:leader="none" w:pos="1139" w:val="left"/>
        </w:tabs>
        <w:numPr>
          <w:ilvl w:val="0"/>
          <w:numId w:val="6"/>
        </w:numPr>
        <w:rPr>
          <w:rFonts w:ascii="Arial" w:cs="Arial" w:eastAsia="Arial" w:hAnsi="Arial"/>
          <w:sz w:val="18"/>
          <w:szCs w:val="18"/>
          <w:color w:val="auto"/>
        </w:rPr>
      </w:pPr>
      <w:r>
        <w:rPr>
          <w:rFonts w:ascii="Arial" w:cs="Arial" w:eastAsia="Arial" w:hAnsi="Arial"/>
          <w:sz w:val="18"/>
          <w:szCs w:val="18"/>
          <w:color w:val="auto"/>
        </w:rPr>
        <w:t>Full financial evaluation including analysis of historical results and modeling of various scenarios including product launch forecasting;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9" w:name="page10"/>
    <w:bookmarkEnd w:id="9"/>
    <w:p>
      <w:pPr>
        <w:ind w:left="1140" w:hanging="272"/>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240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240395"/>
                    </a:xfrm>
                    <a:prstGeom prst="rect">
                      <a:avLst/>
                    </a:prstGeom>
                    <a:noFill/>
                  </pic:spPr>
                </pic:pic>
              </a:graphicData>
            </a:graphic>
          </wp:anchor>
        </w:drawing>
        <w:t>Review and evaluation of operations including R&amp;D, manufacturing, sales, and distribution;</w:t>
      </w:r>
    </w:p>
    <w:p>
      <w:pPr>
        <w:spacing w:after="0" w:line="36" w:lineRule="exact"/>
        <w:rPr>
          <w:rFonts w:ascii="Arial" w:cs="Arial" w:eastAsia="Arial" w:hAnsi="Arial"/>
          <w:sz w:val="18"/>
          <w:szCs w:val="18"/>
          <w:color w:val="auto"/>
        </w:rPr>
      </w:pPr>
    </w:p>
    <w:p>
      <w:pPr>
        <w:ind w:left="1200" w:right="79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Identification of key milestones that will drive liquidity, and assessment of the likelihood of various paths to liquidity;</w:t>
      </w:r>
    </w:p>
    <w:p>
      <w:pPr>
        <w:spacing w:after="0" w:line="21" w:lineRule="exact"/>
        <w:rPr>
          <w:rFonts w:ascii="Arial" w:cs="Arial" w:eastAsia="Arial" w:hAnsi="Arial"/>
          <w:sz w:val="18"/>
          <w:szCs w:val="18"/>
          <w:color w:val="auto"/>
        </w:rPr>
      </w:pPr>
    </w:p>
    <w:p>
      <w:pPr>
        <w:ind w:left="1200" w:right="99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Preparation of a detailed financial forecast and potential cash-on-cash returns analysis using several scenarios of financial performance, structure and exit timing;</w:t>
      </w:r>
    </w:p>
    <w:p>
      <w:pPr>
        <w:spacing w:after="0" w:line="7" w:lineRule="exact"/>
        <w:rPr>
          <w:rFonts w:ascii="Arial" w:cs="Arial" w:eastAsia="Arial" w:hAnsi="Arial"/>
          <w:sz w:val="18"/>
          <w:szCs w:val="18"/>
          <w:color w:val="auto"/>
        </w:rPr>
      </w:pPr>
    </w:p>
    <w:p>
      <w:pPr>
        <w:ind w:left="1200" w:right="85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Comparison of a company’s progress against tracked prior meetings and its competition; and</w:t>
      </w:r>
    </w:p>
    <w:p>
      <w:pPr>
        <w:spacing w:after="0" w:line="21" w:lineRule="exact"/>
        <w:rPr>
          <w:rFonts w:ascii="Arial" w:cs="Arial" w:eastAsia="Arial" w:hAnsi="Arial"/>
          <w:sz w:val="18"/>
          <w:szCs w:val="18"/>
          <w:color w:val="auto"/>
        </w:rPr>
      </w:pPr>
    </w:p>
    <w:p>
      <w:pPr>
        <w:ind w:left="1200" w:right="1199" w:hanging="332"/>
        <w:spacing w:after="0" w:line="246" w:lineRule="auto"/>
        <w:tabs>
          <w:tab w:leader="none" w:pos="1139" w:val="left"/>
        </w:tabs>
        <w:numPr>
          <w:ilvl w:val="0"/>
          <w:numId w:val="7"/>
        </w:numPr>
        <w:rPr>
          <w:rFonts w:ascii="Arial" w:cs="Arial" w:eastAsia="Arial" w:hAnsi="Arial"/>
          <w:sz w:val="18"/>
          <w:szCs w:val="18"/>
          <w:color w:val="auto"/>
        </w:rPr>
      </w:pPr>
      <w:r>
        <w:rPr>
          <w:rFonts w:ascii="Arial" w:cs="Arial" w:eastAsia="Arial" w:hAnsi="Arial"/>
          <w:sz w:val="18"/>
          <w:szCs w:val="18"/>
          <w:color w:val="auto"/>
        </w:rPr>
        <w:t>Analysis of relevant and available data using advanced data science techniques (for example, claims analysis to identify potential patient population).</w:t>
      </w:r>
    </w:p>
    <w:p>
      <w:pPr>
        <w:spacing w:after="0" w:line="129" w:lineRule="exact"/>
        <w:rPr>
          <w:sz w:val="20"/>
          <w:szCs w:val="20"/>
          <w:color w:val="auto"/>
        </w:rPr>
      </w:pPr>
    </w:p>
    <w:p>
      <w:pPr>
        <w:ind w:left="540" w:right="579"/>
        <w:spacing w:after="0" w:line="235" w:lineRule="auto"/>
        <w:rPr>
          <w:sz w:val="20"/>
          <w:szCs w:val="20"/>
          <w:color w:val="auto"/>
        </w:rPr>
      </w:pPr>
      <w:r>
        <w:rPr>
          <w:rFonts w:ascii="Arial" w:cs="Arial" w:eastAsia="Arial" w:hAnsi="Arial"/>
          <w:sz w:val="18"/>
          <w:szCs w:val="18"/>
          <w:color w:val="auto"/>
        </w:rPr>
        <w:t>Our management team will utilize the information management system of our affiliate, Foresite Capital, to track company progress, milestones, commercial KPIs, future financing needs and timing, action items, key risks and open items. Decisions to proceed with final negotiation and consummation of the initial business combination will be made by consensus of the management team after the completion of what we believe to be appropriate due diligence, which may encompass, among other things, meetings with incumbent management and employees, document reviews, interviews of customers and suppliers, inspections of facilities, as well as reviewing financial and other information which will be made available to us. The time required for the initial business combination to advance from sourcing to final approval will vary depending on the circumstances. If our management team or our affiliate, Foresite Capital, has been previously following a prospective target company and has identified key hurdles, open items, or pieces of data believed essential to making an investment, we will be able leverage these insights and move quickly when our requirements are met. 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INITIAL BUSINESS COMBINATION</w:t>
      </w:r>
    </w:p>
    <w:p>
      <w:pPr>
        <w:spacing w:after="0" w:line="153"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135" w:lineRule="exact"/>
        <w:rPr>
          <w:sz w:val="20"/>
          <w:szCs w:val="20"/>
          <w:color w:val="auto"/>
        </w:rPr>
      </w:pPr>
    </w:p>
    <w:p>
      <w:pPr>
        <w:ind w:left="540" w:right="579"/>
        <w:spacing w:after="0" w:line="250"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 w:name="page11"/>
    <w:bookmarkEnd w:id="10"/>
    <w:p>
      <w:pPr>
        <w:ind w:left="540" w:right="759"/>
        <w:spacing w:after="0" w:line="24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114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111490"/>
                    </a:xfrm>
                    <a:prstGeom prst="rect">
                      <a:avLst/>
                    </a:prstGeom>
                    <a:noFill/>
                  </pic:spPr>
                </pic:pic>
              </a:graphicData>
            </a:graphic>
          </wp:anchor>
        </w:drawing>
        <w:t>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w:t>
      </w:r>
    </w:p>
    <w:p>
      <w:pPr>
        <w:spacing w:after="0" w:line="2" w:lineRule="exact"/>
        <w:rPr>
          <w:sz w:val="20"/>
          <w:szCs w:val="20"/>
          <w:color w:val="auto"/>
        </w:rPr>
      </w:pPr>
    </w:p>
    <w:p>
      <w:pPr>
        <w:ind w:left="540" w:right="559"/>
        <w:spacing w:after="0" w:line="238" w:lineRule="auto"/>
        <w:rPr>
          <w:sz w:val="20"/>
          <w:szCs w:val="20"/>
          <w:color w:val="auto"/>
        </w:rPr>
      </w:pPr>
      <w:r>
        <w:rPr>
          <w:rFonts w:ascii="Arial" w:cs="Arial" w:eastAsia="Arial" w:hAnsi="Arial"/>
          <w:sz w:val="18"/>
          <w:szCs w:val="18"/>
          <w:color w:val="auto"/>
        </w:rPr>
        <w:t>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35"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SOURCING OF POTENTIAL INITIAL BUSINESS COMBINATION TARGETS</w:t>
      </w:r>
    </w:p>
    <w:p>
      <w:pPr>
        <w:spacing w:after="0" w:line="166" w:lineRule="exact"/>
        <w:rPr>
          <w:sz w:val="20"/>
          <w:szCs w:val="20"/>
          <w:color w:val="auto"/>
        </w:rPr>
      </w:pPr>
    </w:p>
    <w:p>
      <w:pPr>
        <w:ind w:left="540" w:right="5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w:t>
      </w:r>
    </w:p>
    <w:p>
      <w:pPr>
        <w:spacing w:after="0" w:line="127" w:lineRule="exact"/>
        <w:rPr>
          <w:sz w:val="20"/>
          <w:szCs w:val="20"/>
          <w:color w:val="auto"/>
        </w:rPr>
      </w:pPr>
    </w:p>
    <w:p>
      <w:pPr>
        <w:ind w:left="540" w:right="659"/>
        <w:spacing w:after="0" w:line="237"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5" w:lineRule="exact"/>
        <w:rPr>
          <w:sz w:val="20"/>
          <w:szCs w:val="20"/>
          <w:color w:val="auto"/>
        </w:rPr>
      </w:pPr>
    </w:p>
    <w:p>
      <w:pPr>
        <w:ind w:left="540" w:right="61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6" w:lineRule="exact"/>
        <w:rPr>
          <w:sz w:val="20"/>
          <w:szCs w:val="20"/>
          <w:color w:val="auto"/>
        </w:rPr>
      </w:pPr>
    </w:p>
    <w:p>
      <w:pPr>
        <w:ind w:left="540" w:right="69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INFORMATION</w:t>
      </w:r>
    </w:p>
    <w:p>
      <w:pPr>
        <w:spacing w:after="0" w:line="153" w:lineRule="exact"/>
        <w:rPr>
          <w:sz w:val="20"/>
          <w:szCs w:val="20"/>
          <w:color w:val="auto"/>
        </w:rPr>
      </w:pPr>
    </w:p>
    <w:p>
      <w:pPr>
        <w:ind w:left="540" w:right="659"/>
        <w:spacing w:after="0" w:line="246" w:lineRule="auto"/>
        <w:rPr>
          <w:sz w:val="20"/>
          <w:szCs w:val="20"/>
          <w:color w:val="auto"/>
        </w:rPr>
      </w:pPr>
      <w:r>
        <w:rPr>
          <w:rFonts w:ascii="Arial" w:cs="Arial" w:eastAsia="Arial" w:hAnsi="Arial"/>
          <w:sz w:val="18"/>
          <w:szCs w:val="18"/>
          <w:color w:val="auto"/>
        </w:rPr>
        <w:t>Our executive offices are located at 600 Montgomery Street, Suite 4500, San Francisco, California 94111, and our telephone number is (415) 877-4887.</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1" w:name="page12"/>
    <w:bookmarkEnd w:id="11"/>
    <w:p>
      <w:pPr>
        <w:ind w:left="540" w:right="55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4605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4605655"/>
                    </a:xfrm>
                    <a:prstGeom prst="rect">
                      <a:avLst/>
                    </a:prstGeom>
                    <a:noFill/>
                  </pic:spPr>
                </pic:pic>
              </a:graphicData>
            </a:graphic>
          </wp:anchor>
        </w:drawing>
        <w:t>We are an “emerging growth company,” as defined in Section 2(a) of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7" w:lineRule="exact"/>
        <w:rPr>
          <w:sz w:val="20"/>
          <w:szCs w:val="20"/>
          <w:color w:val="auto"/>
        </w:rPr>
      </w:pPr>
    </w:p>
    <w:p>
      <w:pPr>
        <w:ind w:left="540" w:right="559"/>
        <w:spacing w:after="0" w:line="237"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37"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common stock that is held by non-affiliates exceeds $700 million as of the prior June 30, and (2) the date on which we have issued more than $1.0 billion in non-convertible debt securities during the prior three-year period. References herein to “emerging growth company” will have the meaning associated with it in the JOBS Act.</w:t>
      </w:r>
    </w:p>
    <w:p>
      <w:pPr>
        <w:spacing w:after="0" w:line="122" w:lineRule="exact"/>
        <w:rPr>
          <w:sz w:val="20"/>
          <w:szCs w:val="20"/>
          <w:color w:val="auto"/>
        </w:rPr>
      </w:pPr>
    </w:p>
    <w:p>
      <w:pPr>
        <w:ind w:left="540" w:right="719"/>
        <w:spacing w:after="0" w:line="24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19"/>
          <w:szCs w:val="19"/>
          <w:color w:val="auto"/>
          <w:vertAlign w:val="superscript"/>
        </w:rPr>
        <w:t>th</w:t>
      </w:r>
      <w:r>
        <w:rPr>
          <w:rFonts w:ascii="Arial" w:cs="Arial" w:eastAsia="Arial" w:hAnsi="Arial"/>
          <w:sz w:val="17"/>
          <w:szCs w:val="17"/>
          <w:color w:val="auto"/>
        </w:rPr>
        <w:t>, or</w:t>
      </w:r>
    </w:p>
    <w:p>
      <w:pPr>
        <w:spacing w:after="0" w:line="4" w:lineRule="exact"/>
        <w:rPr>
          <w:sz w:val="20"/>
          <w:szCs w:val="20"/>
          <w:color w:val="auto"/>
        </w:rPr>
      </w:pPr>
    </w:p>
    <w:p>
      <w:pPr>
        <w:ind w:left="540" w:right="759" w:firstLine="4"/>
        <w:spacing w:after="0" w:line="274" w:lineRule="auto"/>
        <w:tabs>
          <w:tab w:leader="none" w:pos="81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annual revenues exceeded $100 million during such completed fiscal year and the market value of our common stock held by non-affiliates exceeds $700 million as of the prior June 30.</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76"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9515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8951595"/>
                    </a:xfrm>
                    <a:prstGeom prst="rect">
                      <a:avLst/>
                    </a:prstGeom>
                    <a:noFill/>
                  </pic:spPr>
                </pic:pic>
              </a:graphicData>
            </a:graphic>
          </wp:anchor>
        </w:drawing>
        <w:t>THE OFFERING</w:t>
      </w:r>
    </w:p>
    <w:p>
      <w:pPr>
        <w:spacing w:after="0" w:line="234" w:lineRule="exact"/>
        <w:rPr>
          <w:sz w:val="20"/>
          <w:szCs w:val="20"/>
          <w:color w:val="auto"/>
        </w:rPr>
      </w:pPr>
    </w:p>
    <w:p>
      <w:pPr>
        <w:ind w:left="540" w:right="579"/>
        <w:spacing w:after="0" w:line="237" w:lineRule="auto"/>
        <w:rPr>
          <w:sz w:val="20"/>
          <w:szCs w:val="20"/>
          <w:color w:val="auto"/>
        </w:rPr>
      </w:pPr>
      <w:r>
        <w:rPr>
          <w:rFonts w:ascii="Arial" w:cs="Arial" w:eastAsia="Arial" w:hAnsi="Arial"/>
          <w:sz w:val="18"/>
          <w:szCs w:val="18"/>
          <w:color w:val="auto"/>
        </w:rPr>
        <w:t>In making your decision on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in this prospectus.</w:t>
      </w:r>
    </w:p>
    <w:p>
      <w:pPr>
        <w:spacing w:after="0" w:line="160" w:lineRule="exact"/>
        <w:rPr>
          <w:sz w:val="20"/>
          <w:szCs w:val="20"/>
          <w:color w:val="auto"/>
        </w:rPr>
      </w:pPr>
    </w:p>
    <w:p>
      <w:pPr>
        <w:ind w:left="540"/>
        <w:spacing w:after="0"/>
        <w:tabs>
          <w:tab w:leader="none" w:pos="448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7"/>
          <w:szCs w:val="17"/>
          <w:color w:val="auto"/>
        </w:rPr>
        <w:t>10,000,000 units (or 11,500,000 units if the</w:t>
      </w:r>
    </w:p>
    <w:p>
      <w:pPr>
        <w:ind w:left="4500"/>
        <w:spacing w:after="0" w:line="234" w:lineRule="auto"/>
        <w:rPr>
          <w:sz w:val="20"/>
          <w:szCs w:val="20"/>
          <w:color w:val="auto"/>
        </w:rPr>
      </w:pPr>
      <w:r>
        <w:rPr>
          <w:rFonts w:ascii="Arial" w:cs="Arial" w:eastAsia="Arial" w:hAnsi="Arial"/>
          <w:sz w:val="18"/>
          <w:szCs w:val="18"/>
          <w:color w:val="auto"/>
        </w:rPr>
        <w:t>underwriter’s over-allotment option is exercised in</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full), at $10.00 per unit, each unit consisting of:</w:t>
      </w:r>
    </w:p>
    <w:p>
      <w:pPr>
        <w:spacing w:after="0" w:line="185" w:lineRule="exact"/>
        <w:rPr>
          <w:sz w:val="20"/>
          <w:szCs w:val="20"/>
          <w:color w:val="auto"/>
        </w:rPr>
      </w:pPr>
    </w:p>
    <w:p>
      <w:pPr>
        <w:ind w:left="4720"/>
        <w:spacing w:after="0"/>
        <w:tabs>
          <w:tab w:leader="none" w:pos="4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one share of Class A common stock; and</w:t>
      </w:r>
    </w:p>
    <w:p>
      <w:pPr>
        <w:spacing w:after="0" w:line="185" w:lineRule="exact"/>
        <w:rPr>
          <w:sz w:val="20"/>
          <w:szCs w:val="20"/>
          <w:color w:val="auto"/>
        </w:rPr>
      </w:pPr>
    </w:p>
    <w:p>
      <w:pPr>
        <w:ind w:left="4720"/>
        <w:spacing w:after="0"/>
        <w:tabs>
          <w:tab w:leader="none" w:pos="4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one-third of one redeemable warrant.</w:t>
      </w:r>
    </w:p>
    <w:p>
      <w:pPr>
        <w:spacing w:after="0" w:line="185" w:lineRule="exact"/>
        <w:rPr>
          <w:sz w:val="20"/>
          <w:szCs w:val="20"/>
          <w:color w:val="auto"/>
        </w:rPr>
      </w:pPr>
    </w:p>
    <w:p>
      <w:pPr>
        <w:ind w:left="540"/>
        <w:spacing w:after="0"/>
        <w:tabs>
          <w:tab w:leader="none" w:pos="4480" w:val="left"/>
          <w:tab w:leader="none" w:pos="5580" w:val="left"/>
        </w:tabs>
        <w:rPr>
          <w:sz w:val="20"/>
          <w:szCs w:val="20"/>
          <w:color w:val="auto"/>
        </w:rPr>
      </w:pPr>
      <w:r>
        <w:rPr>
          <w:rFonts w:ascii="Arial" w:cs="Arial" w:eastAsia="Arial" w:hAnsi="Arial"/>
          <w:sz w:val="18"/>
          <w:szCs w:val="18"/>
          <w:color w:val="auto"/>
        </w:rPr>
        <w:t>Proposed Nasdaq symbols</w:t>
      </w:r>
      <w:r>
        <w:rPr>
          <w:sz w:val="20"/>
          <w:szCs w:val="20"/>
          <w:color w:val="auto"/>
        </w:rPr>
        <w:tab/>
      </w:r>
      <w:r>
        <w:rPr>
          <w:rFonts w:ascii="Arial" w:cs="Arial" w:eastAsia="Arial" w:hAnsi="Arial"/>
          <w:sz w:val="18"/>
          <w:szCs w:val="18"/>
          <w:color w:val="auto"/>
        </w:rPr>
        <w:t>Units: “[</w:t>
      </w:r>
      <w:r>
        <w:rPr>
          <w:sz w:val="20"/>
          <w:szCs w:val="20"/>
          <w:color w:val="auto"/>
        </w:rPr>
        <w:tab/>
      </w:r>
      <w:r>
        <w:rPr>
          <w:rFonts w:ascii="Arial" w:cs="Arial" w:eastAsia="Arial" w:hAnsi="Arial"/>
          <w:sz w:val="16"/>
          <w:szCs w:val="16"/>
          <w:color w:val="auto"/>
        </w:rPr>
        <w:t>]”</w:t>
      </w:r>
    </w:p>
    <w:p>
      <w:pPr>
        <w:spacing w:after="0" w:line="185" w:lineRule="exact"/>
        <w:rPr>
          <w:sz w:val="20"/>
          <w:szCs w:val="20"/>
          <w:color w:val="auto"/>
        </w:rPr>
      </w:pPr>
    </w:p>
    <w:p>
      <w:pPr>
        <w:ind w:left="4500"/>
        <w:spacing w:after="0"/>
        <w:tabs>
          <w:tab w:leader="none" w:pos="7000" w:val="left"/>
        </w:tabs>
        <w:rPr>
          <w:sz w:val="20"/>
          <w:szCs w:val="20"/>
          <w:color w:val="auto"/>
        </w:rPr>
      </w:pPr>
      <w:r>
        <w:rPr>
          <w:rFonts w:ascii="Arial" w:cs="Arial" w:eastAsia="Arial" w:hAnsi="Arial"/>
          <w:sz w:val="18"/>
          <w:szCs w:val="18"/>
          <w:color w:val="auto"/>
        </w:rPr>
        <w:t>Class A common stock: “[</w:t>
      </w:r>
      <w:r>
        <w:rPr>
          <w:sz w:val="20"/>
          <w:szCs w:val="20"/>
          <w:color w:val="auto"/>
        </w:rPr>
        <w:tab/>
      </w:r>
      <w:r>
        <w:rPr>
          <w:rFonts w:ascii="Arial" w:cs="Arial" w:eastAsia="Arial" w:hAnsi="Arial"/>
          <w:sz w:val="16"/>
          <w:szCs w:val="16"/>
          <w:color w:val="auto"/>
        </w:rPr>
        <w:t>]”</w:t>
      </w:r>
    </w:p>
    <w:p>
      <w:pPr>
        <w:spacing w:after="0" w:line="185" w:lineRule="exact"/>
        <w:rPr>
          <w:sz w:val="20"/>
          <w:szCs w:val="20"/>
          <w:color w:val="auto"/>
        </w:rPr>
      </w:pPr>
    </w:p>
    <w:p>
      <w:pPr>
        <w:ind w:left="4500"/>
        <w:spacing w:after="0"/>
        <w:tabs>
          <w:tab w:leader="none" w:pos="5900" w:val="left"/>
        </w:tabs>
        <w:rPr>
          <w:sz w:val="20"/>
          <w:szCs w:val="20"/>
          <w:color w:val="auto"/>
        </w:rPr>
      </w:pPr>
      <w:r>
        <w:rPr>
          <w:rFonts w:ascii="Arial" w:cs="Arial" w:eastAsia="Arial" w:hAnsi="Arial"/>
          <w:sz w:val="18"/>
          <w:szCs w:val="18"/>
          <w:color w:val="auto"/>
        </w:rPr>
        <w:t>Warrants: “[</w:t>
      </w:r>
      <w:r>
        <w:rPr>
          <w:sz w:val="20"/>
          <w:szCs w:val="20"/>
          <w:color w:val="auto"/>
        </w:rPr>
        <w:tab/>
      </w:r>
      <w:r>
        <w:rPr>
          <w:rFonts w:ascii="Arial" w:cs="Arial" w:eastAsia="Arial" w:hAnsi="Arial"/>
          <w:sz w:val="16"/>
          <w:szCs w:val="16"/>
          <w:color w:val="auto"/>
        </w:rPr>
        <w:t>]”</w:t>
      </w:r>
    </w:p>
    <w:p>
      <w:pPr>
        <w:sectPr>
          <w:pgSz w:w="11900" w:h="16838" w:orient="portrait"/>
          <w:cols w:equalWidth="0" w:num="1">
            <w:col w:w="9019"/>
          </w:cols>
          <w:pgMar w:left="1440" w:top="535" w:right="1440" w:bottom="1440" w:gutter="0" w:footer="0" w:header="0"/>
        </w:sectPr>
      </w:pPr>
    </w:p>
    <w:p>
      <w:pPr>
        <w:spacing w:after="0" w:line="185" w:lineRule="exact"/>
        <w:rPr>
          <w:sz w:val="20"/>
          <w:szCs w:val="20"/>
          <w:color w:val="auto"/>
        </w:rPr>
      </w:pPr>
    </w:p>
    <w:p>
      <w:pPr>
        <w:ind w:left="720" w:right="320" w:hanging="179"/>
        <w:spacing w:after="0"/>
        <w:rPr>
          <w:sz w:val="20"/>
          <w:szCs w:val="20"/>
          <w:color w:val="auto"/>
        </w:rPr>
      </w:pPr>
      <w:r>
        <w:rPr>
          <w:rFonts w:ascii="Arial" w:cs="Arial" w:eastAsia="Arial" w:hAnsi="Arial"/>
          <w:sz w:val="18"/>
          <w:szCs w:val="18"/>
          <w:color w:val="auto"/>
        </w:rPr>
        <w:t>Trading commencement and separation of shares of Class A common stock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20" w:hanging="179"/>
        <w:spacing w:after="0"/>
        <w:rPr>
          <w:sz w:val="20"/>
          <w:szCs w:val="20"/>
          <w:color w:val="auto"/>
        </w:rPr>
      </w:pPr>
      <w:r>
        <w:rPr>
          <w:rFonts w:ascii="Arial" w:cs="Arial" w:eastAsia="Arial" w:hAnsi="Arial"/>
          <w:sz w:val="18"/>
          <w:szCs w:val="18"/>
          <w:color w:val="auto"/>
        </w:rPr>
        <w:t>Separate trading of the Class A common stock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right="579"/>
        <w:spacing w:after="0" w:line="234" w:lineRule="auto"/>
        <w:rPr>
          <w:sz w:val="20"/>
          <w:szCs w:val="20"/>
          <w:color w:val="auto"/>
        </w:rPr>
      </w:pPr>
      <w:r>
        <w:rPr>
          <w:rFonts w:ascii="Arial" w:cs="Arial" w:eastAsia="Arial" w:hAnsi="Arial"/>
          <w:sz w:val="18"/>
          <w:szCs w:val="18"/>
          <w:color w:val="auto"/>
        </w:rPr>
        <w:t>The units are expected to begin trading on or promptly after the date of this 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The shares of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w:t>
      </w:r>
      <w:r>
        <w:rPr>
          <w:rFonts w:ascii="Arial" w:cs="Arial" w:eastAsia="Arial" w:hAnsi="Arial"/>
          <w:sz w:val="18"/>
          <w:szCs w:val="18"/>
          <w:i w:val="1"/>
          <w:iCs w:val="1"/>
          <w:color w:val="auto"/>
        </w:rPr>
        <w:t>.</w:t>
      </w:r>
      <w:r>
        <w:rPr>
          <w:rFonts w:ascii="Arial" w:cs="Arial" w:eastAsia="Arial" w:hAnsi="Arial"/>
          <w:sz w:val="18"/>
          <w:szCs w:val="18"/>
          <w:color w:val="auto"/>
        </w:rPr>
        <w:t xml:space="preserve"> Once the shares of Class A common stock and warrants commence separate trading, holders will have the option to continue to hold units or separate their units into the component securities</w:t>
      </w:r>
      <w:r>
        <w:rPr>
          <w:rFonts w:ascii="Arial" w:cs="Arial" w:eastAsia="Arial" w:hAnsi="Arial"/>
          <w:sz w:val="18"/>
          <w:szCs w:val="18"/>
          <w:i w:val="1"/>
          <w:iCs w:val="1"/>
          <w:color w:val="auto"/>
        </w:rPr>
        <w:t>.</w:t>
      </w:r>
      <w:r>
        <w:rPr>
          <w:rFonts w:ascii="Arial" w:cs="Arial" w:eastAsia="Arial" w:hAnsi="Arial"/>
          <w:sz w:val="18"/>
          <w:szCs w:val="18"/>
          <w:color w:val="auto"/>
        </w:rPr>
        <w:t xml:space="preserve"> Holders will need to have their brokers contact our transfer agent in order to separate the units into shares of Class A common stock and warrants</w:t>
      </w:r>
      <w:r>
        <w:rPr>
          <w:rFonts w:ascii="Arial" w:cs="Arial" w:eastAsia="Arial" w:hAnsi="Arial"/>
          <w:sz w:val="18"/>
          <w:szCs w:val="18"/>
          <w:i w:val="1"/>
          <w:iCs w:val="1"/>
          <w:color w:val="auto"/>
        </w:rPr>
        <w:t>.</w:t>
      </w:r>
      <w:r>
        <w:rPr>
          <w:rFonts w:ascii="Arial" w:cs="Arial" w:eastAsia="Arial" w:hAnsi="Arial"/>
          <w:sz w:val="18"/>
          <w:szCs w:val="18"/>
          <w:color w:val="auto"/>
        </w:rPr>
        <w:t xml:space="preserve"> No fractional warrants will be issued upon separation of the units and only whole warrants will trade</w:t>
      </w:r>
      <w:r>
        <w:rPr>
          <w:rFonts w:ascii="Arial" w:cs="Arial" w:eastAsia="Arial" w:hAnsi="Arial"/>
          <w:sz w:val="18"/>
          <w:szCs w:val="18"/>
          <w:i w:val="1"/>
          <w:iCs w:val="1"/>
          <w:color w:val="auto"/>
        </w:rPr>
        <w:t>.</w:t>
      </w:r>
      <w:r>
        <w:rPr>
          <w:rFonts w:ascii="Arial" w:cs="Arial" w:eastAsia="Arial" w:hAnsi="Arial"/>
          <w:sz w:val="18"/>
          <w:szCs w:val="18"/>
          <w:color w:val="auto"/>
        </w:rPr>
        <w:t xml:space="preserve"> Accordingly, unless you purchase at least three units, you will not be able to receive or trade a whole warrant.</w:t>
      </w:r>
    </w:p>
    <w:p>
      <w:pPr>
        <w:spacing w:after="0" w:line="200" w:lineRule="exact"/>
        <w:rPr>
          <w:sz w:val="20"/>
          <w:szCs w:val="20"/>
          <w:color w:val="auto"/>
        </w:rPr>
      </w:pPr>
    </w:p>
    <w:p>
      <w:pPr>
        <w:spacing w:after="0" w:line="387" w:lineRule="exact"/>
        <w:rPr>
          <w:sz w:val="20"/>
          <w:szCs w:val="20"/>
          <w:color w:val="auto"/>
        </w:rPr>
      </w:pPr>
    </w:p>
    <w:p>
      <w:pPr>
        <w:ind w:right="599"/>
        <w:spacing w:after="0" w:line="235"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the closing of this offering</w:t>
      </w:r>
      <w:r>
        <w:rPr>
          <w:rFonts w:ascii="Arial" w:cs="Arial" w:eastAsia="Arial" w:hAnsi="Arial"/>
          <w:sz w:val="18"/>
          <w:szCs w:val="18"/>
          <w:i w:val="1"/>
          <w:iCs w:val="1"/>
          <w:color w:val="auto"/>
        </w:rPr>
        <w:t>.</w:t>
      </w:r>
      <w:r>
        <w:rPr>
          <w:rFonts w:ascii="Arial" w:cs="Arial" w:eastAsia="Arial" w:hAnsi="Arial"/>
          <w:sz w:val="18"/>
          <w:szCs w:val="18"/>
          <w:color w:val="auto"/>
        </w:rPr>
        <w:t xml:space="preserve"> We will file the Current Report on Form 8-K promptly after the closing of this offering, which closing is anticipated to take place three business days from the date of this prospectus</w:t>
      </w:r>
      <w:r>
        <w:rPr>
          <w:rFonts w:ascii="Arial" w:cs="Arial" w:eastAsia="Arial" w:hAnsi="Arial"/>
          <w:sz w:val="18"/>
          <w:szCs w:val="18"/>
          <w:i w:val="1"/>
          <w:iCs w:val="1"/>
          <w:color w:val="auto"/>
        </w:rPr>
        <w:t>.</w:t>
      </w:r>
      <w:r>
        <w:rPr>
          <w:rFonts w:ascii="Arial" w:cs="Arial" w:eastAsia="Arial" w:hAnsi="Arial"/>
          <w:sz w:val="18"/>
          <w:szCs w:val="18"/>
          <w:color w:val="auto"/>
        </w:rPr>
        <w:t xml:space="preserve">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4240" w:space="260"/>
            <w:col w:w="4519"/>
          </w:cols>
          <w:pgMar w:left="1440" w:top="535" w:right="1440" w:bottom="1440" w:gutter="0" w:footer="0" w:header="0"/>
          <w:type w:val="continuous"/>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35" w:right="1440" w:bottom="1440" w:gutter="0" w:footer="0" w:header="0"/>
          <w:type w:val="continuous"/>
        </w:sectPr>
      </w:pPr>
    </w:p>
    <w:bookmarkStart w:id="13" w:name="page14"/>
    <w:bookmarkEnd w:id="13"/>
    <w:tbl>
      <w:tblPr>
        <w:tblLayout w:type="fixed"/>
        <w:tblInd w:w="540" w:type="dxa"/>
        <w:tblCellMar>
          <w:top w:w="0" w:type="dxa"/>
          <w:left w:w="0" w:type="dxa"/>
          <w:bottom w:w="0" w:type="dxa"/>
          <w:right w:w="0" w:type="dxa"/>
        </w:tblCellMar>
      </w:tblP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Units:</w:t>
            </w:r>
          </w:p>
        </w:tc>
        <w:tc>
          <w:tcPr>
            <w:tcW w:w="1300" w:type="dxa"/>
            <w:vAlign w:val="bottom"/>
          </w:tcPr>
          <w:p>
            <w:pPr>
              <w:spacing w:after="0"/>
              <w:rPr>
                <w:sz w:val="18"/>
                <w:szCs w:val="18"/>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Number outstanding before this offering</w:t>
            </w:r>
          </w:p>
        </w:tc>
        <w:tc>
          <w:tcPr>
            <w:tcW w:w="1300" w:type="dxa"/>
            <w:vAlign w:val="bottom"/>
          </w:tcPr>
          <w:p>
            <w:pPr>
              <w:ind w:left="260"/>
              <w:spacing w:after="0"/>
              <w:rPr>
                <w:sz w:val="20"/>
                <w:szCs w:val="20"/>
                <w:color w:val="auto"/>
              </w:rPr>
            </w:pPr>
            <w:r>
              <w:rPr>
                <w:rFonts w:ascii="Arial" w:cs="Arial" w:eastAsia="Arial" w:hAnsi="Arial"/>
                <w:sz w:val="18"/>
                <w:szCs w:val="18"/>
                <w:color w:val="auto"/>
              </w:rPr>
              <w:t>0</w:t>
            </w:r>
          </w:p>
        </w:tc>
      </w:tr>
      <w:tr>
        <w:trPr>
          <w:trHeight w:val="442"/>
        </w:trPr>
        <w:tc>
          <w:tcPr>
            <w:tcW w:w="342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1300" w:type="dxa"/>
            <w:vAlign w:val="bottom"/>
          </w:tcPr>
          <w:p>
            <w:pPr>
              <w:ind w:left="260"/>
              <w:spacing w:after="0"/>
              <w:rPr>
                <w:sz w:val="20"/>
                <w:szCs w:val="20"/>
                <w:color w:val="auto"/>
              </w:rPr>
            </w:pPr>
            <w:r>
              <w:rPr>
                <w:rFonts w:ascii="Arial" w:cs="Arial" w:eastAsia="Arial" w:hAnsi="Arial"/>
                <w:sz w:val="18"/>
                <w:szCs w:val="18"/>
                <w:color w:val="auto"/>
                <w:w w:val="95"/>
              </w:rPr>
              <w:t>10,000,000</w:t>
            </w:r>
            <w:r>
              <w:rPr>
                <w:rFonts w:ascii="Arial" w:cs="Arial" w:eastAsia="Arial" w:hAnsi="Arial"/>
                <w:sz w:val="20"/>
                <w:szCs w:val="20"/>
                <w:color w:val="auto"/>
                <w:w w:val="95"/>
                <w:vertAlign w:val="superscript"/>
              </w:rPr>
              <w:t>(1)</w:t>
            </w:r>
          </w:p>
        </w:tc>
      </w:tr>
      <w:tr>
        <w:trPr>
          <w:trHeight w:val="341"/>
        </w:trPr>
        <w:tc>
          <w:tcPr>
            <w:tcW w:w="3420" w:type="dxa"/>
            <w:vAlign w:val="bottom"/>
          </w:tcPr>
          <w:p>
            <w:pPr>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517" w:right="1440" w:bottom="1440" w:gutter="0" w:footer="0" w:header="0"/>
        </w:sect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114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6114415"/>
                    </a:xfrm>
                    <a:prstGeom prst="rect">
                      <a:avLst/>
                    </a:prstGeom>
                    <a:noFill/>
                  </pic:spPr>
                </pic:pic>
              </a:graphicData>
            </a:graphic>
          </wp:anchor>
        </w:drawing>
      </w:r>
    </w:p>
    <w:p>
      <w:pPr>
        <w:spacing w:after="0" w:line="175" w:lineRule="exact"/>
        <w:rPr>
          <w:sz w:val="20"/>
          <w:szCs w:val="20"/>
          <w:color w:val="auto"/>
        </w:rPr>
      </w:pPr>
    </w:p>
    <w:p>
      <w:pPr>
        <w:ind w:left="540" w:right="400"/>
        <w:spacing w:after="0" w:line="453" w:lineRule="auto"/>
        <w:rPr>
          <w:sz w:val="20"/>
          <w:szCs w:val="20"/>
          <w:color w:val="auto"/>
        </w:rPr>
      </w:pPr>
      <w:r>
        <w:rPr>
          <w:rFonts w:ascii="Arial" w:cs="Arial" w:eastAsia="Arial" w:hAnsi="Arial"/>
          <w:sz w:val="18"/>
          <w:szCs w:val="18"/>
          <w:color w:val="auto"/>
        </w:rPr>
        <w:t>Number outstanding before this offering Number outstanding after this offering Warrants:</w:t>
      </w:r>
    </w:p>
    <w:p>
      <w:pPr>
        <w:spacing w:after="0" w:line="2" w:lineRule="exact"/>
        <w:rPr>
          <w:sz w:val="20"/>
          <w:szCs w:val="20"/>
          <w:color w:val="auto"/>
        </w:rPr>
      </w:pPr>
    </w:p>
    <w:p>
      <w:pPr>
        <w:jc w:val="both"/>
        <w:ind w:left="720" w:hanging="179"/>
        <w:spacing w:after="0"/>
        <w:rPr>
          <w:sz w:val="20"/>
          <w:szCs w:val="20"/>
          <w:color w:val="auto"/>
        </w:rPr>
      </w:pPr>
      <w:r>
        <w:rPr>
          <w:rFonts w:ascii="Arial" w:cs="Arial" w:eastAsia="Arial" w:hAnsi="Arial"/>
          <w:sz w:val="18"/>
          <w:szCs w:val="18"/>
          <w:color w:val="auto"/>
        </w:rPr>
        <w:t>Number of private placement warrants to be sold in a private placement simultaneously with this offering</w:t>
      </w:r>
    </w:p>
    <w:p>
      <w:pPr>
        <w:spacing w:after="0" w:line="176" w:lineRule="exact"/>
        <w:rPr>
          <w:sz w:val="20"/>
          <w:szCs w:val="20"/>
          <w:color w:val="auto"/>
        </w:rPr>
      </w:pPr>
    </w:p>
    <w:p>
      <w:pPr>
        <w:jc w:val="center"/>
        <w:ind w:left="540" w:right="140"/>
        <w:spacing w:after="0" w:line="274" w:lineRule="auto"/>
        <w:rPr>
          <w:sz w:val="20"/>
          <w:szCs w:val="20"/>
          <w:color w:val="auto"/>
        </w:rPr>
      </w:pPr>
      <w:r>
        <w:rPr>
          <w:rFonts w:ascii="Arial" w:cs="Arial" w:eastAsia="Arial" w:hAnsi="Arial"/>
          <w:sz w:val="17"/>
          <w:szCs w:val="17"/>
          <w:color w:val="auto"/>
        </w:rPr>
        <w:t>Number of warrants to be outstanding after this offering and the private placement</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2,875,000</w:t>
      </w:r>
      <w:r>
        <w:rPr>
          <w:rFonts w:ascii="Arial" w:cs="Arial" w:eastAsia="Arial" w:hAnsi="Arial"/>
          <w:sz w:val="20"/>
          <w:szCs w:val="20"/>
          <w:color w:val="auto"/>
          <w:vertAlign w:val="superscript"/>
        </w:rPr>
        <w:t>(2)(3)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12,500,000</w:t>
      </w:r>
      <w:r>
        <w:rPr>
          <w:rFonts w:ascii="Arial" w:cs="Arial" w:eastAsia="Arial" w:hAnsi="Arial"/>
          <w:sz w:val="20"/>
          <w:szCs w:val="20"/>
          <w:color w:val="auto"/>
          <w:vertAlign w:val="superscript"/>
        </w:rPr>
        <w:t>(1)(3)(4)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2,666,667</w:t>
      </w:r>
      <w:r>
        <w:rPr>
          <w:rFonts w:ascii="Arial" w:cs="Arial" w:eastAsia="Arial" w:hAnsi="Arial"/>
          <w:sz w:val="20"/>
          <w:szCs w:val="20"/>
          <w:color w:val="auto"/>
          <w:vertAlign w:val="superscript"/>
        </w:rPr>
        <w:t>(1)</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6,000,000</w:t>
      </w:r>
      <w:r>
        <w:rPr>
          <w:rFonts w:ascii="Arial" w:cs="Arial" w:eastAsia="Arial" w:hAnsi="Arial"/>
          <w:sz w:val="20"/>
          <w:szCs w:val="20"/>
          <w:color w:val="auto"/>
          <w:vertAlign w:val="superscript"/>
        </w:rPr>
        <w:t>(1)</w:t>
      </w:r>
    </w:p>
    <w:p>
      <w:pPr>
        <w:spacing w:after="0" w:line="162" w:lineRule="exact"/>
        <w:rPr>
          <w:sz w:val="20"/>
          <w:szCs w:val="20"/>
          <w:color w:val="auto"/>
        </w:rPr>
      </w:pPr>
    </w:p>
    <w:p>
      <w:pPr>
        <w:ind w:right="579"/>
        <w:spacing w:after="0" w:line="238" w:lineRule="auto"/>
        <w:rPr>
          <w:sz w:val="20"/>
          <w:szCs w:val="20"/>
          <w:color w:val="auto"/>
        </w:rPr>
      </w:pPr>
      <w:r>
        <w:rPr>
          <w:rFonts w:ascii="Arial" w:cs="Arial" w:eastAsia="Arial" w:hAnsi="Arial"/>
          <w:sz w:val="18"/>
          <w:szCs w:val="18"/>
          <w:color w:val="auto"/>
        </w:rPr>
        <w:t>Each whole warrant offered in this offering is exercisable to purchase one share of Class A common stock. Only whole warrants are exercisable. No fractional warrants will be issued upon separation of the units and only whole warrants will trade.</w:t>
      </w:r>
    </w:p>
    <w:p>
      <w:pPr>
        <w:spacing w:after="0" w:line="175"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We structured each unit to contain one-third of one warrant, with each whole warrant exercisable for one share of Class A common stock, as compared to units issued by some other similar special purpose acquisition companies which contain whole warrants exercisable for one whole share, in order to reduce the dilutive effect of the warrants upon completion of a business combination as compared to units that each contain a whole warrant to purchase one whole share, thus making us, we believe, a more attractive business combination partner for target businesses.</w:t>
      </w:r>
    </w:p>
    <w:p>
      <w:pPr>
        <w:spacing w:after="0" w:line="361" w:lineRule="exact"/>
        <w:rPr>
          <w:sz w:val="20"/>
          <w:szCs w:val="20"/>
          <w:color w:val="auto"/>
        </w:rPr>
      </w:pPr>
    </w:p>
    <w:p>
      <w:pPr>
        <w:sectPr>
          <w:pgSz w:w="11900" w:h="16838" w:orient="portrait"/>
          <w:cols w:equalWidth="0" w:num="2">
            <w:col w:w="4100" w:space="120"/>
            <w:col w:w="4799"/>
          </w:cols>
          <w:pgMar w:left="1440" w:top="517" w:right="1440" w:bottom="1440" w:gutter="0" w:footer="0" w:header="0"/>
          <w:type w:val="continuous"/>
        </w:sectPr>
      </w:pPr>
    </w:p>
    <w:p>
      <w:pPr>
        <w:ind w:left="980" w:right="619" w:hanging="436"/>
        <w:spacing w:after="0" w:line="216" w:lineRule="auto"/>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Assumes no exercise of the underwriters’ over-allotment option and the forfeiture of 375,000 founder shares by our initial stockholders for no consideration.</w:t>
      </w:r>
    </w:p>
    <w:p>
      <w:pPr>
        <w:ind w:left="980" w:right="1259" w:hanging="436"/>
        <w:spacing w:after="0" w:line="216" w:lineRule="auto"/>
        <w:tabs>
          <w:tab w:leader="none" w:pos="947"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up to 375,000 founder shares that will be forfeited by our initial stockholders depending on the extent to which the underwriters’ over-allotment option is exercised.</w:t>
      </w:r>
    </w:p>
    <w:p>
      <w:pPr>
        <w:ind w:left="980" w:right="659" w:hanging="436"/>
        <w:spacing w:after="0" w:line="234" w:lineRule="auto"/>
        <w:tabs>
          <w:tab w:leader="none" w:pos="947" w:val="left"/>
        </w:tabs>
        <w:numPr>
          <w:ilvl w:val="0"/>
          <w:numId w:val="9"/>
        </w:numPr>
        <w:rPr>
          <w:rFonts w:ascii="Arial" w:cs="Arial" w:eastAsia="Arial" w:hAnsi="Arial"/>
          <w:sz w:val="12"/>
          <w:szCs w:val="12"/>
          <w:color w:val="auto"/>
        </w:rPr>
      </w:pPr>
      <w:r>
        <w:rPr>
          <w:rFonts w:ascii="Arial" w:cs="Arial" w:eastAsia="Arial" w:hAnsi="Arial"/>
          <w:sz w:val="12"/>
          <w:szCs w:val="12"/>
          <w:color w:val="auto"/>
        </w:rPr>
        <w:t>Founder shares are currently classified as shares of Class B common stock, which shares will automatically convert into shares of Class A common stock concurrently with or immediately following the consummation of our initial business combination on a one-for-one basis, subject to adjustment as described below adjacent to the caption “Founder shares conversion and anti-dilution rights.”</w:t>
      </w:r>
    </w:p>
    <w:p>
      <w:pPr>
        <w:spacing w:after="0" w:line="1" w:lineRule="exact"/>
        <w:rPr>
          <w:rFonts w:ascii="Arial" w:cs="Arial" w:eastAsia="Arial" w:hAnsi="Arial"/>
          <w:sz w:val="12"/>
          <w:szCs w:val="12"/>
          <w:color w:val="auto"/>
        </w:rPr>
      </w:pPr>
    </w:p>
    <w:p>
      <w:pPr>
        <w:ind w:left="940" w:hanging="396"/>
        <w:spacing w:after="0"/>
        <w:tabs>
          <w:tab w:leader="none" w:pos="94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10,000,000 public shares and 2,500,000 founder shares.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tbl>
      <w:tblPr>
        <w:tblLayout w:type="fixed"/>
        <w:tblInd w:w="470" w:type="dxa"/>
        <w:tblCellMar>
          <w:top w:w="0" w:type="dxa"/>
          <w:left w:w="0" w:type="dxa"/>
          <w:bottom w:w="0" w:type="dxa"/>
          <w:right w:w="0" w:type="dxa"/>
        </w:tblCellMar>
      </w:tblPr>
      <w:tr>
        <w:trPr>
          <w:trHeight w:val="580"/>
        </w:trPr>
        <w:tc>
          <w:tcPr>
            <w:tcW w:w="230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Exercise price</w:t>
            </w:r>
          </w:p>
        </w:tc>
        <w:tc>
          <w:tcPr>
            <w:tcW w:w="580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$11.50 per share, subject to adjustments as described</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herein. In addition, if (x) we issue additional shares of</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Class A common stock or equity-linked securities for</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capital raising purposes in connection with the closing of</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our initial business combination at an issue price or</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effective issue price of less than $9.20 per share of Class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A common stock (with such issue price or effective issue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price to be determined in good faith by our board of</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directors and, in the case of any such issuance to our initial</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stockholders or their affiliates, without taking into account</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any founder shares held by our initial stockholders or such</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affiliates, as applicable, prior to such issuance) (the “Newly</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Issued Price”), (y) the aggregate gross proceeds from such</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issuances represent more than 60% of the total equity</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proceeds, and interest thereon, available for the funding of</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our initial business combination on the date of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consummation of our initial business combination (net of</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redemptions), and (z) the volume weighted average trading</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price of our Class A common stock during the 20 trading</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day period starting on the trading day after the day on</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which we consummate our initial business combination</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(such price, the “Market Value”) is below $9.20 per share,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the exercise price of the warrants will be adjusted (to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nearest cent) to be equal to 115% of the higher of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Market Value and the Newly Issued Price, the $18.00 per</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share redemption trigger price described adjacent to</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“Redemption of warrants when the price per share of Class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A common stock equals or exceeds $18.00” will be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adjusted (to the nearest cent) to be equal to 180% of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higher of the Market Value and the Newly Issued Price,</w:t>
            </w:r>
          </w:p>
        </w:tc>
      </w:tr>
      <w:tr>
        <w:trPr>
          <w:trHeight w:val="202"/>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and the $10.00 per share redemption trigger price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described adjacent to the caption “Redemption of warrants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when the price per share of Class A common Stock equals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or exceeds $10.00” will be adjusted (to the nearest cent) to</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be equal to the higher of the Market Value and the Newly</w:t>
            </w:r>
          </w:p>
        </w:tc>
      </w:tr>
      <w:tr>
        <w:trPr>
          <w:trHeight w:val="217"/>
        </w:trPr>
        <w:tc>
          <w:tcPr>
            <w:tcW w:w="230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Issued Price.</w:t>
            </w:r>
          </w:p>
        </w:tc>
      </w:tr>
      <w:tr>
        <w:trPr>
          <w:trHeight w:val="391"/>
        </w:trPr>
        <w:tc>
          <w:tcPr>
            <w:tcW w:w="23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Exercise period</w:t>
            </w:r>
          </w:p>
        </w:tc>
        <w:tc>
          <w:tcPr>
            <w:tcW w:w="5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The warrants will become exercisable on the later of:</w:t>
            </w:r>
          </w:p>
        </w:tc>
      </w:tr>
      <w:tr>
        <w:trPr>
          <w:trHeight w:val="323"/>
        </w:trPr>
        <w:tc>
          <w:tcPr>
            <w:tcW w:w="2300" w:type="dxa"/>
            <w:vAlign w:val="bottom"/>
            <w:tcBorders>
              <w:left w:val="single" w:sz="8" w:color="auto"/>
            </w:tcBorders>
          </w:tcPr>
          <w:p>
            <w:pPr>
              <w:spacing w:after="0"/>
              <w:rPr>
                <w:sz w:val="24"/>
                <w:szCs w:val="24"/>
                <w:color w:val="auto"/>
              </w:rPr>
            </w:pPr>
          </w:p>
        </w:tc>
        <w:tc>
          <w:tcPr>
            <w:tcW w:w="580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  30 days after the completion of our initial business</w:t>
            </w:r>
          </w:p>
        </w:tc>
      </w:tr>
      <w:tr>
        <w:trPr>
          <w:trHeight w:val="217"/>
        </w:trPr>
        <w:tc>
          <w:tcPr>
            <w:tcW w:w="230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combination, and</w:t>
            </w:r>
          </w:p>
        </w:tc>
      </w:tr>
      <w:tr>
        <w:trPr>
          <w:trHeight w:val="351"/>
        </w:trPr>
        <w:tc>
          <w:tcPr>
            <w:tcW w:w="2300" w:type="dxa"/>
            <w:vAlign w:val="bottom"/>
            <w:tcBorders>
              <w:left w:val="single" w:sz="8" w:color="auto"/>
            </w:tcBorders>
          </w:tcPr>
          <w:p>
            <w:pPr>
              <w:spacing w:after="0"/>
              <w:rPr>
                <w:sz w:val="24"/>
                <w:szCs w:val="24"/>
                <w:color w:val="auto"/>
              </w:rPr>
            </w:pPr>
          </w:p>
        </w:tc>
        <w:tc>
          <w:tcPr>
            <w:tcW w:w="580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  12 months from the closing of this offering;</w:t>
            </w:r>
          </w:p>
        </w:tc>
      </w:tr>
      <w:tr>
        <w:trPr>
          <w:trHeight w:val="337"/>
        </w:trPr>
        <w:tc>
          <w:tcPr>
            <w:tcW w:w="2300" w:type="dxa"/>
            <w:vAlign w:val="bottom"/>
            <w:tcBorders>
              <w:left w:val="single" w:sz="8" w:color="auto"/>
            </w:tcBorders>
          </w:tcPr>
          <w:p>
            <w:pPr>
              <w:spacing w:after="0"/>
              <w:rPr>
                <w:sz w:val="24"/>
                <w:szCs w:val="24"/>
                <w:color w:val="auto"/>
              </w:rPr>
            </w:pPr>
          </w:p>
        </w:tc>
        <w:tc>
          <w:tcPr>
            <w:tcW w:w="5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provided in each case that we have an effective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registration statement under the Securities Act covering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shares of Class A common stock issuable upon exercise of</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the warrants and a current prospectus relating to them is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available and such shares are registered, qualified or</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exempt from registration under the securities, or blue sky,</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laws of the state of residence of the holder (or we permit</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holders to exercise their warrants on a cashless basis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under the circumstances specified in the warrant</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agreement). If and when the warrants become redeemable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by us, we may exercise our redemption right even if we are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unable to register or qualify the underlying securities for</w:t>
            </w:r>
          </w:p>
        </w:tc>
      </w:tr>
      <w:tr>
        <w:trPr>
          <w:trHeight w:val="217"/>
        </w:trPr>
        <w:tc>
          <w:tcPr>
            <w:tcW w:w="230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sale under all applicable state securities laws.</w:t>
            </w:r>
          </w:p>
        </w:tc>
      </w:tr>
      <w:tr>
        <w:trPr>
          <w:trHeight w:val="388"/>
        </w:trPr>
        <w:tc>
          <w:tcPr>
            <w:tcW w:w="2300" w:type="dxa"/>
            <w:vAlign w:val="bottom"/>
            <w:tcBorders>
              <w:left w:val="single" w:sz="8" w:color="auto"/>
              <w:bottom w:val="single" w:sz="8" w:color="auto"/>
            </w:tcBorders>
          </w:tcPr>
          <w:p>
            <w:pPr>
              <w:spacing w:after="0"/>
              <w:rPr>
                <w:sz w:val="24"/>
                <w:szCs w:val="24"/>
                <w:color w:val="auto"/>
              </w:rPr>
            </w:pPr>
          </w:p>
        </w:tc>
        <w:tc>
          <w:tcPr>
            <w:tcW w:w="5800" w:type="dxa"/>
            <w:vAlign w:val="bottom"/>
            <w:tcBorders>
              <w:bottom w:val="single" w:sz="8" w:color="auto"/>
              <w:right w:val="single" w:sz="8" w:color="auto"/>
            </w:tcBorders>
          </w:tcPr>
          <w:p>
            <w:pPr>
              <w:spacing w:after="0"/>
              <w:rPr>
                <w:sz w:val="24"/>
                <w:szCs w:val="24"/>
                <w:color w:val="auto"/>
              </w:rPr>
            </w:pPr>
          </w:p>
        </w:tc>
      </w:tr>
      <w:tr>
        <w:trPr>
          <w:trHeight w:val="375"/>
        </w:trPr>
        <w:tc>
          <w:tcPr>
            <w:tcW w:w="230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9019"/>
          </w:cols>
          <w:pgMar w:left="1440" w:top="120" w:right="1440" w:bottom="1440" w:gutter="0" w:footer="0" w:header="0"/>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720" w:hanging="179"/>
        <w:spacing w:after="0"/>
        <w:rPr>
          <w:sz w:val="20"/>
          <w:szCs w:val="20"/>
          <w:color w:val="auto"/>
        </w:rPr>
      </w:pPr>
      <w:r>
        <w:rPr>
          <w:rFonts w:ascii="Arial" w:cs="Arial" w:eastAsia="Arial" w:hAnsi="Arial"/>
          <w:sz w:val="18"/>
          <w:szCs w:val="18"/>
          <w:color w:val="auto"/>
        </w:rPr>
        <w:t>Redemption of warrants when the price per share of Class A common stock equals or exceeds $18.00</w:t>
      </w:r>
    </w:p>
    <w:p>
      <w:pPr>
        <w:spacing w:after="0" w:line="20" w:lineRule="exact"/>
        <w:rPr>
          <w:sz w:val="20"/>
          <w:szCs w:val="20"/>
          <w:color w:val="auto"/>
        </w:rPr>
      </w:pPr>
      <w:r>
        <w:rPr>
          <w:sz w:val="20"/>
          <w:szCs w:val="20"/>
          <w:color w:val="auto"/>
        </w:rPr>
        <w:br w:type="column"/>
      </w:r>
    </w:p>
    <w:p>
      <w:pPr>
        <w:ind w:right="579"/>
        <w:spacing w:after="0" w:line="248" w:lineRule="auto"/>
        <w:rPr>
          <w:sz w:val="20"/>
          <w:szCs w:val="20"/>
          <w:color w:val="auto"/>
        </w:rPr>
      </w:pPr>
      <w:r>
        <w:rPr>
          <w:rFonts w:ascii="Arial" w:cs="Arial" w:eastAsia="Arial" w:hAnsi="Arial"/>
          <w:sz w:val="17"/>
          <w:szCs w:val="17"/>
          <w:color w:val="auto"/>
        </w:rPr>
        <w:t>We are not registering the shares of Class A common stock issuable upon exercise of the warrants at this time. However, we have agreed that as soon as practicable, but in no event later than 15 business days after the closing of our initial business combination, we will use our best efforts to file with the SEC and have an effective registration statement covering the shares of Class A common stock issuable upon exercise of the warrants and to maintain a current prospectus relating to those shares of Class A common stock until the warrants expire or are redeemed, as specified in the warrant agreement. If a registration statement covering the Class A common stock issuable upon exercise of the warrants is not effective by the 60</w:t>
      </w:r>
      <w:r>
        <w:rPr>
          <w:rFonts w:ascii="Arial" w:cs="Arial" w:eastAsia="Arial" w:hAnsi="Arial"/>
          <w:sz w:val="19"/>
          <w:szCs w:val="19"/>
          <w:color w:val="auto"/>
          <w:vertAlign w:val="superscript"/>
        </w:rPr>
        <w:t>th</w:t>
      </w:r>
      <w:r>
        <w:rPr>
          <w:rFonts w:ascii="Arial" w:cs="Arial" w:eastAsia="Arial" w:hAnsi="Arial"/>
          <w:sz w:val="17"/>
          <w:szCs w:val="17"/>
          <w:color w:val="auto"/>
        </w:rPr>
        <w:t xml:space="preserve">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shares of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-4102100</wp:posOffset>
            </wp:positionV>
            <wp:extent cx="5147310" cy="8428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842899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right="659"/>
        <w:spacing w:after="0" w:line="238" w:lineRule="auto"/>
        <w:rPr>
          <w:sz w:val="20"/>
          <w:szCs w:val="20"/>
          <w:color w:val="auto"/>
        </w:rPr>
      </w:pPr>
      <w:r>
        <w:rPr>
          <w:rFonts w:ascii="Arial" w:cs="Arial" w:eastAsia="Arial" w:hAnsi="Arial"/>
          <w:sz w:val="18"/>
          <w:szCs w:val="18"/>
          <w:color w:val="auto"/>
        </w:rPr>
        <w:t>The warrants will expire at 5:00 p.m., New York City time, five years after the completion of our initial business combination or earlier upon redemption or liquidation. On the exercise of any warrant, the warrant exercise price will be paid directly to us and not placed in the trust account.</w:t>
      </w:r>
    </w:p>
    <w:p>
      <w:pPr>
        <w:spacing w:after="0" w:line="200" w:lineRule="exact"/>
        <w:rPr>
          <w:sz w:val="20"/>
          <w:szCs w:val="20"/>
          <w:color w:val="auto"/>
        </w:rPr>
      </w:pPr>
    </w:p>
    <w:p>
      <w:pPr>
        <w:spacing w:after="0" w:line="380" w:lineRule="exact"/>
        <w:rPr>
          <w:sz w:val="20"/>
          <w:szCs w:val="20"/>
          <w:color w:val="auto"/>
        </w:rPr>
      </w:pPr>
    </w:p>
    <w:p>
      <w:pPr>
        <w:ind w:right="779"/>
        <w:spacing w:after="0" w:line="246" w:lineRule="auto"/>
        <w:rPr>
          <w:sz w:val="20"/>
          <w:szCs w:val="20"/>
          <w:color w:val="auto"/>
        </w:rPr>
      </w:pPr>
      <w:r>
        <w:rPr>
          <w:rFonts w:ascii="Arial" w:cs="Arial" w:eastAsia="Arial" w:hAnsi="Arial"/>
          <w:sz w:val="18"/>
          <w:szCs w:val="18"/>
          <w:color w:val="auto"/>
        </w:rPr>
        <w:t>Once the warrants become exercisable, we may redeem the outstanding warrants for cash:</w:t>
      </w:r>
    </w:p>
    <w:p>
      <w:pPr>
        <w:spacing w:after="0" w:line="170" w:lineRule="exact"/>
        <w:rPr>
          <w:sz w:val="20"/>
          <w:szCs w:val="20"/>
          <w:color w:val="auto"/>
        </w:rPr>
      </w:pPr>
    </w:p>
    <w:p>
      <w:pPr>
        <w:ind w:left="440" w:hanging="21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440" w:hanging="214"/>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84" w:lineRule="exact"/>
        <w:rPr>
          <w:rFonts w:ascii="Arial" w:cs="Arial" w:eastAsia="Arial" w:hAnsi="Arial"/>
          <w:sz w:val="18"/>
          <w:szCs w:val="18"/>
          <w:color w:val="auto"/>
        </w:rPr>
      </w:pPr>
    </w:p>
    <w:p>
      <w:pPr>
        <w:ind w:left="440" w:right="899" w:hanging="214"/>
        <w:spacing w:after="0"/>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which we refer to as the 30-day redemption period; and</w:t>
      </w:r>
    </w:p>
    <w:p>
      <w:pPr>
        <w:spacing w:after="0" w:line="175" w:lineRule="exact"/>
        <w:rPr>
          <w:rFonts w:ascii="Arial" w:cs="Arial" w:eastAsia="Arial" w:hAnsi="Arial"/>
          <w:sz w:val="18"/>
          <w:szCs w:val="18"/>
          <w:color w:val="auto"/>
        </w:rPr>
      </w:pPr>
    </w:p>
    <w:p>
      <w:pPr>
        <w:ind w:left="440" w:right="619" w:hanging="214"/>
        <w:spacing w:after="0" w:line="236" w:lineRule="auto"/>
        <w:tabs>
          <w:tab w:leader="none" w:pos="437"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$18.00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30-trading day period ending on the third trading day prior to the date on which we send the notice of redemption to the warrant holders.</w:t>
      </w:r>
    </w:p>
    <w:p>
      <w:pPr>
        <w:spacing w:after="0" w:line="200" w:lineRule="exact"/>
        <w:rPr>
          <w:sz w:val="20"/>
          <w:szCs w:val="20"/>
          <w:color w:val="auto"/>
        </w:rPr>
      </w:pPr>
    </w:p>
    <w:p>
      <w:pPr>
        <w:sectPr>
          <w:pgSz w:w="11900" w:h="16838" w:orient="portrait"/>
          <w:cols w:equalWidth="0" w:num="2">
            <w:col w:w="3540" w:space="180"/>
            <w:col w:w="5299"/>
          </w:cols>
          <w:pgMar w:left="1440" w:top="517" w:right="1440" w:bottom="1440" w:gutter="0" w:footer="0" w:header="0"/>
        </w:sect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720" w:hanging="179"/>
        <w:spacing w:after="0"/>
        <w:rPr>
          <w:sz w:val="20"/>
          <w:szCs w:val="20"/>
          <w:color w:val="auto"/>
        </w:rPr>
      </w:pPr>
      <w:r>
        <w:rPr>
          <w:rFonts w:ascii="Arial" w:cs="Arial" w:eastAsia="Arial" w:hAnsi="Arial"/>
          <w:sz w:val="18"/>
          <w:szCs w:val="18"/>
          <w:color w:val="auto"/>
        </w:rPr>
        <w:t>Redemption of warrants for when the price per share of Class A common stock equals or exceeds $10.00</w:t>
      </w:r>
    </w:p>
    <w:p>
      <w:pPr>
        <w:spacing w:after="0" w:line="20" w:lineRule="exact"/>
        <w:rPr>
          <w:sz w:val="20"/>
          <w:szCs w:val="20"/>
          <w:color w:val="auto"/>
        </w:rPr>
      </w:pPr>
      <w:r>
        <w:rPr>
          <w:sz w:val="20"/>
          <w:szCs w:val="20"/>
          <w:color w:val="auto"/>
        </w:rPr>
        <w:br w:type="column"/>
      </w:r>
    </w:p>
    <w:p>
      <w:pPr>
        <w:ind w:right="559"/>
        <w:spacing w:after="0" w:line="236" w:lineRule="auto"/>
        <w:rPr>
          <w:sz w:val="20"/>
          <w:szCs w:val="20"/>
          <w:color w:val="auto"/>
        </w:rPr>
      </w:pPr>
      <w:r>
        <w:rPr>
          <w:rFonts w:ascii="Arial" w:cs="Arial" w:eastAsia="Arial" w:hAnsi="Arial"/>
          <w:sz w:val="18"/>
          <w:szCs w:val="18"/>
          <w:color w:val="auto"/>
        </w:rPr>
        <w:t>We will not redeem the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laws. None of the private placement warrants will be redeemable by us so long as they are held by our sponsor or its permitted transferees.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-1790065</wp:posOffset>
            </wp:positionV>
            <wp:extent cx="5147310" cy="7665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766572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right="779"/>
        <w:spacing w:after="0" w:line="246" w:lineRule="auto"/>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170" w:lineRule="exact"/>
        <w:rPr>
          <w:sz w:val="20"/>
          <w:szCs w:val="20"/>
          <w:color w:val="auto"/>
        </w:rPr>
      </w:pPr>
    </w:p>
    <w:p>
      <w:pPr>
        <w:ind w:left="440" w:hanging="214"/>
        <w:spacing w:after="0"/>
        <w:tabs>
          <w:tab w:leader="none" w:pos="4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4" w:lineRule="exact"/>
        <w:rPr>
          <w:rFonts w:ascii="Arial" w:cs="Arial" w:eastAsia="Arial" w:hAnsi="Arial"/>
          <w:sz w:val="18"/>
          <w:szCs w:val="18"/>
          <w:color w:val="auto"/>
        </w:rPr>
      </w:pPr>
    </w:p>
    <w:p>
      <w:pPr>
        <w:ind w:left="440" w:right="619" w:hanging="214"/>
        <w:spacing w:after="0" w:line="248" w:lineRule="auto"/>
        <w:tabs>
          <w:tab w:leader="none" w:pos="4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at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determined by reference to the table set forth under “Description of Securities — Warrants — Public Stockholders’ Warrants” based on the redemption date and the “fair market value” (as defined below) of our Class A common stock except as otherwise described in “Description of Securities</w:t>
      </w:r>
    </w:p>
    <w:p>
      <w:pPr>
        <w:spacing w:after="0" w:line="5"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 Warrants — Public Stockholders’ Warrants”;</w:t>
      </w:r>
    </w:p>
    <w:p>
      <w:pPr>
        <w:spacing w:after="0" w:line="184" w:lineRule="exact"/>
        <w:rPr>
          <w:rFonts w:ascii="Arial" w:cs="Arial" w:eastAsia="Arial" w:hAnsi="Arial"/>
          <w:sz w:val="17"/>
          <w:szCs w:val="17"/>
          <w:color w:val="auto"/>
        </w:rPr>
      </w:pPr>
    </w:p>
    <w:p>
      <w:pPr>
        <w:ind w:left="440" w:right="559" w:hanging="214"/>
        <w:spacing w:after="0" w:line="236"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“Description of Securities — Warrants — Public Stockholders’ Warrants — Anti-dilution Adjustments”) for any 20 trading days within the 30-trading day period ending three trading days before we send notice of redemption to the warrant holders; and</w:t>
      </w:r>
    </w:p>
    <w:p>
      <w:pPr>
        <w:spacing w:after="0" w:line="178" w:lineRule="exact"/>
        <w:rPr>
          <w:rFonts w:ascii="Arial" w:cs="Arial" w:eastAsia="Arial" w:hAnsi="Arial"/>
          <w:sz w:val="18"/>
          <w:szCs w:val="18"/>
          <w:color w:val="auto"/>
        </w:rPr>
      </w:pPr>
    </w:p>
    <w:p>
      <w:pPr>
        <w:ind w:left="440" w:right="559" w:hanging="214"/>
        <w:spacing w:after="0" w:line="236" w:lineRule="auto"/>
        <w:tabs>
          <w:tab w:leader="none" w:pos="437"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as described above.</w:t>
      </w:r>
    </w:p>
    <w:p>
      <w:pPr>
        <w:spacing w:after="0" w:line="200" w:lineRule="exact"/>
        <w:rPr>
          <w:sz w:val="20"/>
          <w:szCs w:val="20"/>
          <w:color w:val="auto"/>
        </w:rPr>
      </w:pPr>
    </w:p>
    <w:p>
      <w:pPr>
        <w:sectPr>
          <w:pgSz w:w="11900" w:h="16838" w:orient="portrait"/>
          <w:cols w:equalWidth="0" w:num="2">
            <w:col w:w="3540" w:space="180"/>
            <w:col w:w="529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tbl>
      <w:tblPr>
        <w:tblLayout w:type="fixed"/>
        <w:tblInd w:w="470" w:type="dxa"/>
        <w:tblCellMar>
          <w:top w:w="0" w:type="dxa"/>
          <w:left w:w="0" w:type="dxa"/>
          <w:bottom w:w="0" w:type="dxa"/>
          <w:right w:w="0" w:type="dxa"/>
        </w:tblCellMar>
      </w:tblPr>
      <w:tr>
        <w:trPr>
          <w:trHeight w:val="580"/>
        </w:trPr>
        <w:tc>
          <w:tcPr>
            <w:tcW w:w="2300" w:type="dxa"/>
            <w:vAlign w:val="bottom"/>
            <w:tcBorders>
              <w:top w:val="single" w:sz="8" w:color="auto"/>
              <w:left w:val="single" w:sz="8" w:color="auto"/>
            </w:tcBorders>
          </w:tcPr>
          <w:p>
            <w:pPr>
              <w:spacing w:after="0"/>
              <w:rPr>
                <w:sz w:val="24"/>
                <w:szCs w:val="24"/>
                <w:color w:val="auto"/>
              </w:rPr>
            </w:pPr>
          </w:p>
        </w:tc>
        <w:tc>
          <w:tcPr>
            <w:tcW w:w="5800" w:type="dxa"/>
            <w:vAlign w:val="bottom"/>
            <w:tcBorders>
              <w:top w:val="single" w:sz="8" w:color="auto"/>
              <w:right w:val="single" w:sz="8" w:color="auto"/>
            </w:tcBorders>
          </w:tcPr>
          <w:p>
            <w:pPr>
              <w:ind w:left="960"/>
              <w:spacing w:after="0"/>
              <w:rPr>
                <w:sz w:val="20"/>
                <w:szCs w:val="20"/>
                <w:color w:val="auto"/>
              </w:rPr>
            </w:pPr>
            <w:r>
              <w:rPr>
                <w:rFonts w:ascii="Arial" w:cs="Arial" w:eastAsia="Arial" w:hAnsi="Arial"/>
                <w:sz w:val="18"/>
                <w:szCs w:val="18"/>
                <w:color w:val="auto"/>
              </w:rPr>
              <w:t>The “fair market value” of our Class A common stock shall</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mean the volume weighted average price of our Class A</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common stock during the 10 trading days immediately</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following the date on which the notice of redemption is sent</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to the holders of warrants. This redemption feature differs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from the typical warrant redemption features used in other</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blank check offerings. We will provide our warrant holders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with the final fair market value no later than one business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day after the 10 trading day period described above ends.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In no event will the warrants be exercisable in connection</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with this redemption feature for more than 0.361 shares of</w:t>
            </w:r>
          </w:p>
        </w:tc>
      </w:tr>
      <w:tr>
        <w:trPr>
          <w:trHeight w:val="217"/>
        </w:trPr>
        <w:tc>
          <w:tcPr>
            <w:tcW w:w="230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Class A common stock per warrant (subject to adjustment).</w:t>
            </w:r>
          </w:p>
        </w:tc>
      </w:tr>
      <w:tr>
        <w:trPr>
          <w:trHeight w:val="377"/>
        </w:trPr>
        <w:tc>
          <w:tcPr>
            <w:tcW w:w="2300" w:type="dxa"/>
            <w:vAlign w:val="bottom"/>
            <w:tcBorders>
              <w:left w:val="single" w:sz="8" w:color="auto"/>
            </w:tcBorders>
          </w:tcPr>
          <w:p>
            <w:pPr>
              <w:spacing w:after="0"/>
              <w:rPr>
                <w:sz w:val="24"/>
                <w:szCs w:val="24"/>
                <w:color w:val="auto"/>
              </w:rPr>
            </w:pPr>
          </w:p>
        </w:tc>
        <w:tc>
          <w:tcPr>
            <w:tcW w:w="5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No fractional shares of Class A common stock will be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issued upon redemption. If, upon redemption, a holder</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would be entitled to receive a fractional interest in a share,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we will round down to the nearest whole number of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number of shares of Class A common stock to be issued to</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the holder. Please see the section entitled “Description of</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Securities — Warrants — Public Stockholders’ Warrants”</w:t>
            </w:r>
          </w:p>
        </w:tc>
      </w:tr>
      <w:tr>
        <w:trPr>
          <w:trHeight w:val="217"/>
        </w:trPr>
        <w:tc>
          <w:tcPr>
            <w:tcW w:w="230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for additional information.</w:t>
            </w:r>
          </w:p>
        </w:tc>
      </w:tr>
      <w:tr>
        <w:trPr>
          <w:trHeight w:val="377"/>
        </w:trPr>
        <w:tc>
          <w:tcPr>
            <w:tcW w:w="230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Founder shares</w:t>
            </w:r>
          </w:p>
        </w:tc>
        <w:tc>
          <w:tcPr>
            <w:tcW w:w="5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On June 30, 2020 our sponsor purchased an aggregate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2,875,000 founder shares for a total purchase price of</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$25,000, or approximately $0.009 per share. Prior to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initial investment in the company of $25,000 by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sponsor, the company had no assets, tangible or</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intangible. The per share price of the founder shares was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determined by dividing the amount of cash contributed to</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the company by the number of founder shares issued.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number of founder shares outstanding was determined</w:t>
            </w:r>
          </w:p>
        </w:tc>
      </w:tr>
      <w:tr>
        <w:trPr>
          <w:trHeight w:val="202"/>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based on the expectation that the total size of this offering</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would be a maximum of 11,500,000 units if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underwriters’ over-allotment option is exercised in full, and</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therefore that such founder shares would represent 20% of</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the outstanding shares after this offering. Up to 375,000 of</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the founder shares will be forfeited depending on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extent to which the underwriters’ over-allotment option is</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not exercised. If we increase or decrease the size of the</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offering pursuant to Rule 462(b) under the Securities Act,</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we will effect a stock dividend or share contribution back to</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capital or other appropriate mechanism, as applicable, with</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respect to our Class B common stock immediately prior to</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the consummation of the offering in such amount as to</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maintain the ownership of founder shares by our initial</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stockholders, on an as-converted basis, at 20.0% of our</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issued and outstanding common stock upon the</w:t>
            </w:r>
          </w:p>
        </w:tc>
      </w:tr>
      <w:tr>
        <w:trPr>
          <w:trHeight w:val="217"/>
        </w:trPr>
        <w:tc>
          <w:tcPr>
            <w:tcW w:w="230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consummation of this offering.</w:t>
            </w:r>
          </w:p>
        </w:tc>
      </w:tr>
      <w:tr>
        <w:trPr>
          <w:trHeight w:val="377"/>
        </w:trPr>
        <w:tc>
          <w:tcPr>
            <w:tcW w:w="2300" w:type="dxa"/>
            <w:vAlign w:val="bottom"/>
            <w:tcBorders>
              <w:left w:val="single" w:sz="8" w:color="auto"/>
            </w:tcBorders>
          </w:tcPr>
          <w:p>
            <w:pPr>
              <w:spacing w:after="0"/>
              <w:rPr>
                <w:sz w:val="24"/>
                <w:szCs w:val="24"/>
                <w:color w:val="auto"/>
              </w:rPr>
            </w:pPr>
          </w:p>
        </w:tc>
        <w:tc>
          <w:tcPr>
            <w:tcW w:w="5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The founder shares are identical to the shares of Class A</w:t>
            </w:r>
          </w:p>
        </w:tc>
      </w:tr>
      <w:tr>
        <w:trPr>
          <w:trHeight w:val="203"/>
        </w:trPr>
        <w:tc>
          <w:tcPr>
            <w:tcW w:w="2300" w:type="dxa"/>
            <w:vAlign w:val="bottom"/>
            <w:tcBorders>
              <w:left w:val="single" w:sz="8" w:color="auto"/>
            </w:tcBorders>
          </w:tcPr>
          <w:p>
            <w:pPr>
              <w:spacing w:after="0"/>
              <w:rPr>
                <w:sz w:val="17"/>
                <w:szCs w:val="17"/>
                <w:color w:val="auto"/>
              </w:rPr>
            </w:pPr>
          </w:p>
        </w:tc>
        <w:tc>
          <w:tcPr>
            <w:tcW w:w="5800" w:type="dxa"/>
            <w:vAlign w:val="bottom"/>
            <w:tcBorders>
              <w:right w:val="single" w:sz="8" w:color="auto"/>
            </w:tcBorders>
          </w:tcPr>
          <w:p>
            <w:pPr>
              <w:ind w:left="960"/>
              <w:spacing w:after="0" w:line="202" w:lineRule="exact"/>
              <w:rPr>
                <w:sz w:val="20"/>
                <w:szCs w:val="20"/>
                <w:color w:val="auto"/>
              </w:rPr>
            </w:pPr>
            <w:r>
              <w:rPr>
                <w:rFonts w:ascii="Arial" w:cs="Arial" w:eastAsia="Arial" w:hAnsi="Arial"/>
                <w:sz w:val="18"/>
                <w:szCs w:val="18"/>
                <w:color w:val="auto"/>
              </w:rPr>
              <w:t>common stock included in the units being sold in this</w:t>
            </w:r>
          </w:p>
        </w:tc>
      </w:tr>
      <w:tr>
        <w:trPr>
          <w:trHeight w:val="217"/>
        </w:trPr>
        <w:tc>
          <w:tcPr>
            <w:tcW w:w="230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tcPr>
          <w:p>
            <w:pPr>
              <w:ind w:left="960"/>
              <w:spacing w:after="0"/>
              <w:rPr>
                <w:sz w:val="20"/>
                <w:szCs w:val="20"/>
                <w:color w:val="auto"/>
              </w:rPr>
            </w:pPr>
            <w:r>
              <w:rPr>
                <w:rFonts w:ascii="Arial" w:cs="Arial" w:eastAsia="Arial" w:hAnsi="Arial"/>
                <w:sz w:val="18"/>
                <w:szCs w:val="18"/>
                <w:color w:val="auto"/>
              </w:rPr>
              <w:t>offering, except that:</w:t>
            </w:r>
          </w:p>
        </w:tc>
      </w:tr>
      <w:tr>
        <w:trPr>
          <w:trHeight w:val="377"/>
        </w:trPr>
        <w:tc>
          <w:tcPr>
            <w:tcW w:w="2300" w:type="dxa"/>
            <w:vAlign w:val="bottom"/>
            <w:tcBorders>
              <w:left w:val="single" w:sz="8" w:color="auto"/>
            </w:tcBorders>
          </w:tcPr>
          <w:p>
            <w:pPr>
              <w:spacing w:after="0"/>
              <w:rPr>
                <w:sz w:val="24"/>
                <w:szCs w:val="24"/>
                <w:color w:val="auto"/>
              </w:rPr>
            </w:pPr>
          </w:p>
        </w:tc>
        <w:tc>
          <w:tcPr>
            <w:tcW w:w="580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  the founder shares are subject to certain transfer</w:t>
            </w:r>
          </w:p>
        </w:tc>
      </w:tr>
      <w:tr>
        <w:trPr>
          <w:trHeight w:val="217"/>
        </w:trPr>
        <w:tc>
          <w:tcPr>
            <w:tcW w:w="230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tcPr>
          <w:p>
            <w:pPr>
              <w:ind w:left="1400"/>
              <w:spacing w:after="0"/>
              <w:rPr>
                <w:sz w:val="20"/>
                <w:szCs w:val="20"/>
                <w:color w:val="auto"/>
              </w:rPr>
            </w:pPr>
            <w:r>
              <w:rPr>
                <w:rFonts w:ascii="Arial" w:cs="Arial" w:eastAsia="Arial" w:hAnsi="Arial"/>
                <w:sz w:val="18"/>
                <w:szCs w:val="18"/>
                <w:color w:val="auto"/>
              </w:rPr>
              <w:t>restrictions, as described in more detail below;</w:t>
            </w:r>
          </w:p>
        </w:tc>
      </w:tr>
      <w:tr>
        <w:trPr>
          <w:trHeight w:val="391"/>
        </w:trPr>
        <w:tc>
          <w:tcPr>
            <w:tcW w:w="2300" w:type="dxa"/>
            <w:vAlign w:val="bottom"/>
            <w:tcBorders>
              <w:left w:val="single" w:sz="8" w:color="auto"/>
            </w:tcBorders>
          </w:tcPr>
          <w:p>
            <w:pPr>
              <w:spacing w:after="0"/>
              <w:rPr>
                <w:sz w:val="24"/>
                <w:szCs w:val="24"/>
                <w:color w:val="auto"/>
              </w:rPr>
            </w:pPr>
          </w:p>
        </w:tc>
        <w:tc>
          <w:tcPr>
            <w:tcW w:w="5800" w:type="dxa"/>
            <w:vAlign w:val="bottom"/>
            <w:tcBorders>
              <w:right w:val="single" w:sz="8" w:color="auto"/>
            </w:tcBorders>
          </w:tcPr>
          <w:p>
            <w:pPr>
              <w:ind w:left="1180"/>
              <w:spacing w:after="0"/>
              <w:rPr>
                <w:sz w:val="20"/>
                <w:szCs w:val="20"/>
                <w:color w:val="auto"/>
              </w:rPr>
            </w:pPr>
            <w:r>
              <w:rPr>
                <w:rFonts w:ascii="Arial" w:cs="Arial" w:eastAsia="Arial" w:hAnsi="Arial"/>
                <w:sz w:val="18"/>
                <w:szCs w:val="18"/>
                <w:color w:val="auto"/>
              </w:rPr>
              <w:t>•  the founder shares are entitled to registration rights;</w:t>
            </w:r>
          </w:p>
        </w:tc>
      </w:tr>
      <w:tr>
        <w:trPr>
          <w:trHeight w:val="388"/>
        </w:trPr>
        <w:tc>
          <w:tcPr>
            <w:tcW w:w="2300" w:type="dxa"/>
            <w:vAlign w:val="bottom"/>
            <w:tcBorders>
              <w:left w:val="single" w:sz="8" w:color="auto"/>
              <w:bottom w:val="single" w:sz="8" w:color="auto"/>
            </w:tcBorders>
          </w:tcPr>
          <w:p>
            <w:pPr>
              <w:spacing w:after="0"/>
              <w:rPr>
                <w:sz w:val="24"/>
                <w:szCs w:val="24"/>
                <w:color w:val="auto"/>
              </w:rPr>
            </w:pPr>
          </w:p>
        </w:tc>
        <w:tc>
          <w:tcPr>
            <w:tcW w:w="5800" w:type="dxa"/>
            <w:vAlign w:val="bottom"/>
            <w:tcBorders>
              <w:bottom w:val="single" w:sz="8" w:color="auto"/>
              <w:right w:val="single" w:sz="8" w:color="auto"/>
            </w:tcBorders>
          </w:tcPr>
          <w:p>
            <w:pPr>
              <w:spacing w:after="0"/>
              <w:rPr>
                <w:sz w:val="24"/>
                <w:szCs w:val="24"/>
                <w:color w:val="auto"/>
              </w:rPr>
            </w:pPr>
          </w:p>
        </w:tc>
      </w:tr>
      <w:tr>
        <w:trPr>
          <w:trHeight w:val="375"/>
        </w:trPr>
        <w:tc>
          <w:tcPr>
            <w:tcW w:w="230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9019"/>
          </w:cols>
          <w:pgMar w:left="1440" w:top="120" w:right="1440" w:bottom="1440" w:gutter="0" w:footer="0" w:header="0"/>
        </w:sectPr>
      </w:pPr>
    </w:p>
    <w:bookmarkStart w:id="18" w:name="page19"/>
    <w:bookmarkEnd w:id="18"/>
    <w:p>
      <w:pPr>
        <w:ind w:left="4160" w:right="579" w:hanging="214"/>
        <w:spacing w:after="0" w:line="235" w:lineRule="auto"/>
        <w:tabs>
          <w:tab w:leader="none" w:pos="4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023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7023100"/>
                    </a:xfrm>
                    <a:prstGeom prst="rect">
                      <a:avLst/>
                    </a:prstGeom>
                    <a:noFill/>
                  </pic:spPr>
                </pic:pic>
              </a:graphicData>
            </a:graphic>
          </wp:anchor>
        </w:drawing>
        <w:t>our initial stockholders, sponsor, officers and directors have entered into a letter agreement with us, pursuant to which they have agreed to (i) waive their redemption rights with respect to any founder shares and public shares they hold in connection with the completion of our initial business combination, (ii)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(iii) waive their rights to liquidating distributions from the trust account with respect to any founder shares they hold if we fail to complete our initial business combination within 24 months from the closing of this offering or any extended period of time that we may have to consummate an initial business combination as a result of an amendment to our amended and restated certificate of incorporation (an “Extension Period”) (although they will be entitled to liquidating distributions from the trust account with respect to any public shares they hold if we fail to complete our initial business combination within the prescribed time frame). If we submit our initial business combination to our public stockholders for a vote, our initial stockholders have agreed to vote their founder shares and any public shares purchased during or after this offering in favor of our initial business combination. As a result, in addition to our initial stockholders’ founder shares, we would need 3,750,001, or 37.5%, of the 10,000,000 public shares sold in this offering to be voted in favor of an initial business combination in order to have our initial business combination approved (assuming all outstanding shares are voted and the over-allotment option is not exercised); and</w:t>
      </w:r>
    </w:p>
    <w:p>
      <w:pPr>
        <w:spacing w:after="0" w:line="181" w:lineRule="exact"/>
        <w:rPr>
          <w:rFonts w:ascii="Arial" w:cs="Arial" w:eastAsia="Arial" w:hAnsi="Arial"/>
          <w:sz w:val="18"/>
          <w:szCs w:val="18"/>
          <w:color w:val="auto"/>
        </w:rPr>
      </w:pPr>
    </w:p>
    <w:p>
      <w:pPr>
        <w:ind w:left="4160" w:right="599" w:hanging="214"/>
        <w:spacing w:after="0" w:line="237" w:lineRule="auto"/>
        <w:tabs>
          <w:tab w:leader="none" w:pos="415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automatically convertible into our Class A common stock concurrently with or immediately following the consummation of our initial business combination on a one-for-one basis, subject to adjustment pursuant to certain anti-dilution rights, as described below adjacent to the caption “Founder shares conversion and anti-dilution rights.”</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9" w:name="page20"/>
    <w:bookmarkEnd w:id="19"/>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491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9491980"/>
                    </a:xfrm>
                    <a:prstGeom prst="rect">
                      <a:avLst/>
                    </a:prstGeom>
                    <a:noFill/>
                  </pic:spPr>
                </pic:pic>
              </a:graphicData>
            </a:graphic>
          </wp:anchor>
        </w:drawing>
        <w:t>Transfer restrictions on founder</w:t>
      </w:r>
      <w:r>
        <w:rPr>
          <w:sz w:val="20"/>
          <w:szCs w:val="20"/>
          <w:color w:val="auto"/>
        </w:rPr>
        <w:tab/>
      </w:r>
      <w:r>
        <w:rPr>
          <w:rFonts w:ascii="Arial" w:cs="Arial" w:eastAsia="Arial" w:hAnsi="Arial"/>
          <w:sz w:val="18"/>
          <w:szCs w:val="18"/>
          <w:color w:val="auto"/>
        </w:rPr>
        <w:t>Our initial stockholders have agreed not to transfer, assign</w:t>
      </w:r>
    </w:p>
    <w:p>
      <w:pPr>
        <w:ind w:left="720"/>
        <w:spacing w:after="0" w:line="234" w:lineRule="auto"/>
        <w:tabs>
          <w:tab w:leader="none" w:pos="370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or sell any of their founder shares until the earlier to occur</w:t>
      </w:r>
    </w:p>
    <w:p>
      <w:pPr>
        <w:spacing w:after="0" w:line="1" w:lineRule="exact"/>
        <w:rPr>
          <w:sz w:val="20"/>
          <w:szCs w:val="20"/>
          <w:color w:val="auto"/>
        </w:rPr>
      </w:pPr>
    </w:p>
    <w:p>
      <w:pPr>
        <w:ind w:left="3720" w:right="619"/>
        <w:spacing w:after="0" w:line="235" w:lineRule="auto"/>
        <w:rPr>
          <w:sz w:val="20"/>
          <w:szCs w:val="20"/>
          <w:color w:val="auto"/>
        </w:rPr>
      </w:pPr>
      <w:r>
        <w:rPr>
          <w:rFonts w:ascii="Arial" w:cs="Arial" w:eastAsia="Arial" w:hAnsi="Arial"/>
          <w:sz w:val="18"/>
          <w:szCs w:val="18"/>
          <w:color w:val="auto"/>
        </w:rPr>
        <w:t>of: (i) one year after the completion of our initial business combination and (ii) the date on which we complete a liquidation, merger, capital stock exchange or other similar transaction after our initial business combination that results in all of our stockholders having the right to exchange their Class A common stock for cash, securities or other property; except to certain permitted transferees and under certain circumstances as described herein under “Principal Stockholders — Transfers of Founder Shares and Private Placement Warrants”. Any permitted transferees will be subject to the same restrictions and other agreements of our initial stockholders with respect to any founder shares. We refer to such transfer restrictions throughout this prospectus as the lock-up. Notwithstanding the foregoing, if (1)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or (2) if we consummate a transaction after our initial business combination which results in our stockholders having the right to exchange their shares for cash, securities or other property, the founder shares will be released from the lock-up.</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Founder shares conversion and</w:t>
      </w:r>
    </w:p>
    <w:p>
      <w:pPr>
        <w:ind w:left="720"/>
        <w:spacing w:after="0" w:line="234" w:lineRule="auto"/>
        <w:tabs>
          <w:tab w:leader="none" w:pos="3700" w:val="left"/>
        </w:tabs>
        <w:rPr>
          <w:sz w:val="20"/>
          <w:szCs w:val="20"/>
          <w:color w:val="auto"/>
        </w:rPr>
      </w:pPr>
      <w:r>
        <w:rPr>
          <w:rFonts w:ascii="Arial" w:cs="Arial" w:eastAsia="Arial" w:hAnsi="Arial"/>
          <w:sz w:val="18"/>
          <w:szCs w:val="18"/>
          <w:color w:val="auto"/>
        </w:rPr>
        <w:t>anti-dilution rights</w:t>
      </w:r>
      <w:r>
        <w:rPr>
          <w:sz w:val="20"/>
          <w:szCs w:val="20"/>
          <w:color w:val="auto"/>
        </w:rPr>
        <w:tab/>
      </w:r>
      <w:r>
        <w:rPr>
          <w:rFonts w:ascii="Arial" w:cs="Arial" w:eastAsia="Arial" w:hAnsi="Arial"/>
          <w:sz w:val="18"/>
          <w:szCs w:val="18"/>
          <w:color w:val="auto"/>
        </w:rPr>
        <w:t>The founder shares will automatically convert into shares</w:t>
      </w:r>
    </w:p>
    <w:p>
      <w:pPr>
        <w:spacing w:after="0" w:line="1" w:lineRule="exact"/>
        <w:rPr>
          <w:sz w:val="20"/>
          <w:szCs w:val="20"/>
          <w:color w:val="auto"/>
        </w:rPr>
      </w:pPr>
    </w:p>
    <w:p>
      <w:pPr>
        <w:ind w:left="3720" w:right="559"/>
        <w:spacing w:after="0" w:line="235" w:lineRule="auto"/>
        <w:rPr>
          <w:sz w:val="20"/>
          <w:szCs w:val="20"/>
          <w:color w:val="auto"/>
        </w:rPr>
      </w:pPr>
      <w:r>
        <w:rPr>
          <w:rFonts w:ascii="Arial" w:cs="Arial" w:eastAsia="Arial" w:hAnsi="Arial"/>
          <w:sz w:val="18"/>
          <w:szCs w:val="18"/>
          <w:color w:val="auto"/>
        </w:rPr>
        <w:t>of Class A common stock concurrently with or immediately following the consummation of our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our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warrants issued to our sponsor, officers or directors upon conversion of working capital loans, provided that such conversion of founder shares will never occur on a less than one-for-one basis. The term “equity-linked securities” refers to any debt or equity securities that are convertible, exercisable or exchangeable for our shares of Class A common stock issued in a financing transaction in connection with our initial business combination, including, but not limited to, a private placement of equity or debt.</w:t>
      </w:r>
    </w:p>
    <w:p>
      <w:pPr>
        <w:spacing w:after="0" w:line="179"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Voting Rights</w:t>
      </w:r>
      <w:r>
        <w:rPr>
          <w:sz w:val="20"/>
          <w:szCs w:val="20"/>
          <w:color w:val="auto"/>
        </w:rPr>
        <w:tab/>
      </w:r>
      <w:r>
        <w:rPr>
          <w:rFonts w:ascii="Arial" w:cs="Arial" w:eastAsia="Arial" w:hAnsi="Arial"/>
          <w:sz w:val="18"/>
          <w:szCs w:val="18"/>
          <w:color w:val="auto"/>
        </w:rPr>
        <w:t>Holders of record of our Class A common stock and</w:t>
      </w:r>
    </w:p>
    <w:p>
      <w:pPr>
        <w:ind w:left="3720" w:right="599"/>
        <w:spacing w:after="0" w:line="238" w:lineRule="auto"/>
        <w:rPr>
          <w:sz w:val="20"/>
          <w:szCs w:val="20"/>
          <w:color w:val="auto"/>
        </w:rPr>
      </w:pPr>
      <w:r>
        <w:rPr>
          <w:rFonts w:ascii="Arial" w:cs="Arial" w:eastAsia="Arial" w:hAnsi="Arial"/>
          <w:sz w:val="18"/>
          <w:szCs w:val="18"/>
          <w:color w:val="auto"/>
        </w:rPr>
        <w:t>holders of record of our Class B common stock will vote together as a single class on all matters submitted to a vote of our stockholders, with each share of common stock entitling the holder to one vote except as required by law.</w:t>
      </w:r>
    </w:p>
    <w:p>
      <w:pPr>
        <w:sectPr>
          <w:pgSz w:w="11900" w:h="16838" w:orient="portrait"/>
          <w:cols w:equalWidth="0" w:num="1">
            <w:col w:w="9019"/>
          </w:cols>
          <w:pgMar w:left="1440" w:top="512" w:right="1440" w:bottom="819"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2" w:right="1440" w:bottom="819" w:gutter="0" w:footer="0" w:header="0"/>
          <w:type w:val="continuous"/>
        </w:sectPr>
      </w:pPr>
    </w:p>
    <w:bookmarkStart w:id="20" w:name="page21"/>
    <w:bookmarkEnd w:id="20"/>
    <w:tbl>
      <w:tblPr>
        <w:tblLayout w:type="fixed"/>
        <w:tblInd w:w="470" w:type="dxa"/>
        <w:tblCellMar>
          <w:top w:w="0" w:type="dxa"/>
          <w:left w:w="0" w:type="dxa"/>
          <w:bottom w:w="0" w:type="dxa"/>
          <w:right w:w="0" w:type="dxa"/>
        </w:tblCellMar>
      </w:tblPr>
      <w:tr>
        <w:trPr>
          <w:trHeight w:val="580"/>
        </w:trPr>
        <w:tc>
          <w:tcPr>
            <w:tcW w:w="312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Private placement warrants</w:t>
            </w:r>
          </w:p>
        </w:tc>
        <w:tc>
          <w:tcPr>
            <w:tcW w:w="498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Our sponsor has committed, pursuant to a written</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agreement, to purchase an aggregate of 2,666,667 private</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placement warrants (or 2,866,667 warrants if the</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underwriters’ over-allotment option is exercised in full),</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each exercisable to purchase one share of Class A</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common stock at $11.50 per share, at a price of $1.50 per</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warrant, or $4,000,000 in the aggregate (or $4,300,000 if</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underwriters’ over-allotment option is exercised in full),</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in a private placement that will close simultaneously with</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closing of this offering. A portion of the purchase price</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of the private placement warrants will be added to the</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proceeds from this offering to be held in the trust account</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such that at the time of closing of this offering $100 million</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(or $115 million if the underwriters exercise their over-</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allotment option in full) will be held in the trust account. If</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we do not complete our initial business combination within</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24 months from the closing of this offering, the private</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placement warrants will expire worthless. The private</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placement warrants will be non-redeemable and</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exercisable on a cashless basis so long as they are held</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by their initial purchasers or their permitted transferees. If</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private placement warrants are held by holders other</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than their initial purchasers or their permitted transferees,</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private placement warrants will be redeemable by us</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and exercisable by the holders on the same basis as the</w:t>
            </w:r>
          </w:p>
        </w:tc>
      </w:tr>
      <w:tr>
        <w:trPr>
          <w:trHeight w:val="217"/>
        </w:trPr>
        <w:tc>
          <w:tcPr>
            <w:tcW w:w="3120" w:type="dxa"/>
            <w:vAlign w:val="bottom"/>
            <w:tcBorders>
              <w:left w:val="single" w:sz="8" w:color="auto"/>
            </w:tcBorders>
          </w:tcPr>
          <w:p>
            <w:pPr>
              <w:spacing w:after="0"/>
              <w:rPr>
                <w:sz w:val="18"/>
                <w:szCs w:val="18"/>
                <w:color w:val="auto"/>
              </w:rPr>
            </w:pPr>
          </w:p>
        </w:tc>
        <w:tc>
          <w:tcPr>
            <w:tcW w:w="4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warrants included in the units being sold in this offering.</w:t>
            </w:r>
          </w:p>
        </w:tc>
      </w:tr>
      <w:tr>
        <w:trPr>
          <w:trHeight w:val="377"/>
        </w:trPr>
        <w:tc>
          <w:tcPr>
            <w:tcW w:w="31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Transfer restrictions on private</w:t>
            </w:r>
          </w:p>
        </w:tc>
        <w:tc>
          <w:tcPr>
            <w:tcW w:w="4980" w:type="dxa"/>
            <w:vAlign w:val="bottom"/>
            <w:tcBorders>
              <w:right w:val="single" w:sz="8" w:color="auto"/>
            </w:tcBorders>
          </w:tcPr>
          <w:p>
            <w:pPr>
              <w:spacing w:after="0"/>
              <w:rPr>
                <w:sz w:val="24"/>
                <w:szCs w:val="24"/>
                <w:color w:val="auto"/>
              </w:rPr>
            </w:pPr>
          </w:p>
        </w:tc>
      </w:tr>
      <w:tr>
        <w:trPr>
          <w:trHeight w:val="203"/>
        </w:trPr>
        <w:tc>
          <w:tcPr>
            <w:tcW w:w="3120" w:type="dxa"/>
            <w:vAlign w:val="bottom"/>
            <w:tcBorders>
              <w:left w:val="single" w:sz="8" w:color="auto"/>
            </w:tcBorders>
          </w:tcPr>
          <w:p>
            <w:pPr>
              <w:ind w:left="260"/>
              <w:spacing w:after="0" w:line="202" w:lineRule="exact"/>
              <w:rPr>
                <w:sz w:val="20"/>
                <w:szCs w:val="20"/>
                <w:color w:val="auto"/>
              </w:rPr>
            </w:pPr>
            <w:r>
              <w:rPr>
                <w:rFonts w:ascii="Arial" w:cs="Arial" w:eastAsia="Arial" w:hAnsi="Arial"/>
                <w:sz w:val="18"/>
                <w:szCs w:val="18"/>
                <w:color w:val="auto"/>
              </w:rPr>
              <w:t>placement warrants</w:t>
            </w: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private placement warrants (including the Class A</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common stock issuable upon exercise of the private</w:t>
            </w:r>
          </w:p>
        </w:tc>
      </w:tr>
      <w:tr>
        <w:trPr>
          <w:trHeight w:val="202"/>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placement warrants) will not be transferable, assignable or</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salable until 30 days after the completion of our initial</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business combination, except as described herein under</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“Principal Stockholders — Transfers of Founder Shares</w:t>
            </w:r>
          </w:p>
        </w:tc>
      </w:tr>
      <w:tr>
        <w:trPr>
          <w:trHeight w:val="217"/>
        </w:trPr>
        <w:tc>
          <w:tcPr>
            <w:tcW w:w="3120" w:type="dxa"/>
            <w:vAlign w:val="bottom"/>
            <w:tcBorders>
              <w:left w:val="single" w:sz="8" w:color="auto"/>
            </w:tcBorders>
          </w:tcPr>
          <w:p>
            <w:pPr>
              <w:spacing w:after="0"/>
              <w:rPr>
                <w:sz w:val="18"/>
                <w:szCs w:val="18"/>
                <w:color w:val="auto"/>
              </w:rPr>
            </w:pPr>
          </w:p>
        </w:tc>
        <w:tc>
          <w:tcPr>
            <w:tcW w:w="4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and Private Placement Warrants”.</w:t>
            </w:r>
          </w:p>
        </w:tc>
      </w:tr>
      <w:tr>
        <w:trPr>
          <w:trHeight w:val="377"/>
        </w:trPr>
        <w:tc>
          <w:tcPr>
            <w:tcW w:w="31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Proceeds to be held in trust account</w:t>
            </w:r>
          </w:p>
        </w:tc>
        <w:tc>
          <w:tcPr>
            <w:tcW w:w="4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Nasdaq rules provide that at least 90% of the gross</w:t>
            </w:r>
          </w:p>
        </w:tc>
      </w:tr>
      <w:tr>
        <w:trPr>
          <w:trHeight w:val="202"/>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proceeds from this offering and the sale of the private</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placement warrants be deposited in a trust account. Of the</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proceeds we will receive from this offering and the sale of</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private placement warrants described in this</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prospectus, $100 million, or $115 million if the</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underwriters’ over-allotment option is exercised in full</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($10.00 per unit in either case), will be deposited into a</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segregated trust account located in the United States at JP</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Morgan Chase Bank, N.A. with Continental Stock Transfer</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&amp; Trust Company acting as trustee, after deducting</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$2,000,000 in underwriting discounts and commissions</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payable upon the closing of this offering (or $2,300,000 if</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the underwriters’ over-allotment option is exercised in full)</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and an aggregate of $2.0 million to pay fees and expenses</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in connection with the closing of this offering and for</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working capital following the closing of this offering. The</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proceeds to be placed in the trust account include</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$3,500,000 (or up to $4,025,000 if the underwriters’ over-</w:t>
            </w:r>
          </w:p>
        </w:tc>
      </w:tr>
      <w:tr>
        <w:trPr>
          <w:trHeight w:val="203"/>
        </w:trPr>
        <w:tc>
          <w:tcPr>
            <w:tcW w:w="3120" w:type="dxa"/>
            <w:vAlign w:val="bottom"/>
            <w:tcBorders>
              <w:left w:val="single" w:sz="8" w:color="auto"/>
            </w:tcBorders>
          </w:tcPr>
          <w:p>
            <w:pPr>
              <w:spacing w:after="0"/>
              <w:rPr>
                <w:sz w:val="17"/>
                <w:szCs w:val="17"/>
                <w:color w:val="auto"/>
              </w:rPr>
            </w:pPr>
          </w:p>
        </w:tc>
        <w:tc>
          <w:tcPr>
            <w:tcW w:w="4980" w:type="dxa"/>
            <w:vAlign w:val="bottom"/>
            <w:tcBorders>
              <w:right w:val="single" w:sz="8" w:color="auto"/>
            </w:tcBorders>
          </w:tcPr>
          <w:p>
            <w:pPr>
              <w:ind w:left="140"/>
              <w:spacing w:after="0" w:line="202" w:lineRule="exact"/>
              <w:rPr>
                <w:sz w:val="20"/>
                <w:szCs w:val="20"/>
                <w:color w:val="auto"/>
              </w:rPr>
            </w:pPr>
            <w:r>
              <w:rPr>
                <w:rFonts w:ascii="Arial" w:cs="Arial" w:eastAsia="Arial" w:hAnsi="Arial"/>
                <w:sz w:val="18"/>
                <w:szCs w:val="18"/>
                <w:color w:val="auto"/>
              </w:rPr>
              <w:t>allotment option is exercised in full) in deferred</w:t>
            </w:r>
          </w:p>
        </w:tc>
      </w:tr>
      <w:tr>
        <w:trPr>
          <w:trHeight w:val="217"/>
        </w:trPr>
        <w:tc>
          <w:tcPr>
            <w:tcW w:w="3120" w:type="dxa"/>
            <w:vAlign w:val="bottom"/>
            <w:tcBorders>
              <w:left w:val="single" w:sz="8" w:color="auto"/>
            </w:tcBorders>
          </w:tcPr>
          <w:p>
            <w:pPr>
              <w:spacing w:after="0"/>
              <w:rPr>
                <w:sz w:val="18"/>
                <w:szCs w:val="18"/>
                <w:color w:val="auto"/>
              </w:rPr>
            </w:pPr>
          </w:p>
        </w:tc>
        <w:tc>
          <w:tcPr>
            <w:tcW w:w="498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underwriting commissions.</w:t>
            </w:r>
          </w:p>
        </w:tc>
      </w:tr>
      <w:tr>
        <w:trPr>
          <w:trHeight w:val="388"/>
        </w:trPr>
        <w:tc>
          <w:tcPr>
            <w:tcW w:w="3120" w:type="dxa"/>
            <w:vAlign w:val="bottom"/>
            <w:tcBorders>
              <w:left w:val="single" w:sz="8" w:color="auto"/>
              <w:bottom w:val="single" w:sz="8" w:color="auto"/>
            </w:tcBorders>
          </w:tcPr>
          <w:p>
            <w:pPr>
              <w:spacing w:after="0"/>
              <w:rPr>
                <w:sz w:val="24"/>
                <w:szCs w:val="24"/>
                <w:color w:val="auto"/>
              </w:rPr>
            </w:pPr>
          </w:p>
        </w:tc>
        <w:tc>
          <w:tcPr>
            <w:tcW w:w="4980" w:type="dxa"/>
            <w:vAlign w:val="bottom"/>
            <w:tcBorders>
              <w:bottom w:val="single" w:sz="8" w:color="auto"/>
              <w:right w:val="single" w:sz="8" w:color="auto"/>
            </w:tcBorders>
          </w:tcPr>
          <w:p>
            <w:pPr>
              <w:spacing w:after="0"/>
              <w:rPr>
                <w:sz w:val="24"/>
                <w:szCs w:val="24"/>
                <w:color w:val="auto"/>
              </w:rPr>
            </w:pPr>
          </w:p>
        </w:tc>
      </w:tr>
      <w:tr>
        <w:trPr>
          <w:trHeight w:val="375"/>
        </w:trPr>
        <w:tc>
          <w:tcPr>
            <w:tcW w:w="31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9019"/>
          </w:cols>
          <w:pgMar w:left="1440" w:top="120" w:right="1440" w:bottom="1440" w:gutter="0" w:footer="0" w:header="0"/>
        </w:sectPr>
      </w:pPr>
    </w:p>
    <w:bookmarkStart w:id="21" w:name="page22"/>
    <w:bookmarkEnd w:id="21"/>
    <w:p>
      <w:pPr>
        <w:ind w:left="40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543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8454390"/>
                    </a:xfrm>
                    <a:prstGeom prst="rect">
                      <a:avLst/>
                    </a:prstGeom>
                    <a:noFill/>
                  </pic:spPr>
                </pic:pic>
              </a:graphicData>
            </a:graphic>
          </wp:anchor>
        </w:drawing>
        <w:t>Except with respect to interest earned on the funds held</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 the trust account that may be released to us to pay</w:t>
      </w:r>
    </w:p>
    <w:p>
      <w:pPr>
        <w:ind w:left="4020"/>
        <w:spacing w:after="0" w:line="234" w:lineRule="auto"/>
        <w:rPr>
          <w:sz w:val="20"/>
          <w:szCs w:val="20"/>
          <w:color w:val="auto"/>
        </w:rPr>
      </w:pPr>
      <w:r>
        <w:rPr>
          <w:rFonts w:ascii="Arial" w:cs="Arial" w:eastAsia="Arial" w:hAnsi="Arial"/>
          <w:sz w:val="18"/>
          <w:szCs w:val="18"/>
          <w:color w:val="auto"/>
        </w:rPr>
        <w:t>our taxes, the proceeds from this offering and the sale</w:t>
      </w:r>
    </w:p>
    <w:p>
      <w:pPr>
        <w:ind w:left="4020"/>
        <w:spacing w:after="0" w:line="235" w:lineRule="auto"/>
        <w:rPr>
          <w:sz w:val="20"/>
          <w:szCs w:val="20"/>
          <w:color w:val="auto"/>
        </w:rPr>
      </w:pPr>
      <w:r>
        <w:rPr>
          <w:rFonts w:ascii="Arial" w:cs="Arial" w:eastAsia="Arial" w:hAnsi="Arial"/>
          <w:sz w:val="18"/>
          <w:szCs w:val="18"/>
          <w:color w:val="auto"/>
        </w:rPr>
        <w:t>of the private placement warrants will not be released</w:t>
      </w:r>
    </w:p>
    <w:p>
      <w:pPr>
        <w:ind w:left="4020"/>
        <w:spacing w:after="0" w:line="235" w:lineRule="auto"/>
        <w:rPr>
          <w:sz w:val="20"/>
          <w:szCs w:val="20"/>
          <w:color w:val="auto"/>
        </w:rPr>
      </w:pPr>
      <w:r>
        <w:rPr>
          <w:rFonts w:ascii="Arial" w:cs="Arial" w:eastAsia="Arial" w:hAnsi="Arial"/>
          <w:sz w:val="18"/>
          <w:szCs w:val="18"/>
          <w:color w:val="auto"/>
        </w:rPr>
        <w:t>from the trust account until the earliest of (i) the</w:t>
      </w:r>
    </w:p>
    <w:p>
      <w:pPr>
        <w:ind w:left="4020"/>
        <w:spacing w:after="0" w:line="235" w:lineRule="auto"/>
        <w:rPr>
          <w:sz w:val="20"/>
          <w:szCs w:val="20"/>
          <w:color w:val="auto"/>
        </w:rPr>
      </w:pPr>
      <w:r>
        <w:rPr>
          <w:rFonts w:ascii="Arial" w:cs="Arial" w:eastAsia="Arial" w:hAnsi="Arial"/>
          <w:sz w:val="18"/>
          <w:szCs w:val="18"/>
          <w:color w:val="auto"/>
        </w:rPr>
        <w:t>completion of our initial business combination, (ii) the</w:t>
      </w:r>
    </w:p>
    <w:p>
      <w:pPr>
        <w:ind w:left="4020"/>
        <w:spacing w:after="0" w:line="235" w:lineRule="auto"/>
        <w:rPr>
          <w:sz w:val="20"/>
          <w:szCs w:val="20"/>
          <w:color w:val="auto"/>
        </w:rPr>
      </w:pPr>
      <w:r>
        <w:rPr>
          <w:rFonts w:ascii="Arial" w:cs="Arial" w:eastAsia="Arial" w:hAnsi="Arial"/>
          <w:sz w:val="18"/>
          <w:szCs w:val="18"/>
          <w:color w:val="auto"/>
        </w:rPr>
        <w:t>redemption of our public shares if we are unable to</w:t>
      </w:r>
    </w:p>
    <w:p>
      <w:pPr>
        <w:ind w:left="4020"/>
        <w:spacing w:after="0" w:line="234" w:lineRule="auto"/>
        <w:rPr>
          <w:sz w:val="20"/>
          <w:szCs w:val="20"/>
          <w:color w:val="auto"/>
        </w:rPr>
      </w:pPr>
      <w:r>
        <w:rPr>
          <w:rFonts w:ascii="Arial" w:cs="Arial" w:eastAsia="Arial" w:hAnsi="Arial"/>
          <w:sz w:val="18"/>
          <w:szCs w:val="18"/>
          <w:color w:val="auto"/>
        </w:rPr>
        <w:t>complete our initial business combination within 24</w:t>
      </w:r>
    </w:p>
    <w:p>
      <w:pPr>
        <w:ind w:left="4020"/>
        <w:spacing w:after="0" w:line="235" w:lineRule="auto"/>
        <w:rPr>
          <w:sz w:val="20"/>
          <w:szCs w:val="20"/>
          <w:color w:val="auto"/>
        </w:rPr>
      </w:pPr>
      <w:r>
        <w:rPr>
          <w:rFonts w:ascii="Arial" w:cs="Arial" w:eastAsia="Arial" w:hAnsi="Arial"/>
          <w:sz w:val="18"/>
          <w:szCs w:val="18"/>
          <w:color w:val="auto"/>
        </w:rPr>
        <w:t>months from the closing of this offering, subject to</w:t>
      </w:r>
    </w:p>
    <w:p>
      <w:pPr>
        <w:ind w:left="4020"/>
        <w:spacing w:after="0" w:line="235" w:lineRule="auto"/>
        <w:rPr>
          <w:sz w:val="20"/>
          <w:szCs w:val="20"/>
          <w:color w:val="auto"/>
        </w:rPr>
      </w:pPr>
      <w:r>
        <w:rPr>
          <w:rFonts w:ascii="Arial" w:cs="Arial" w:eastAsia="Arial" w:hAnsi="Arial"/>
          <w:sz w:val="18"/>
          <w:szCs w:val="18"/>
          <w:color w:val="auto"/>
        </w:rPr>
        <w:t>applicable law, and (iii) the redemption of our public</w:t>
      </w:r>
    </w:p>
    <w:p>
      <w:pPr>
        <w:ind w:left="4020"/>
        <w:spacing w:after="0" w:line="235" w:lineRule="auto"/>
        <w:rPr>
          <w:sz w:val="20"/>
          <w:szCs w:val="20"/>
          <w:color w:val="auto"/>
        </w:rPr>
      </w:pPr>
      <w:r>
        <w:rPr>
          <w:rFonts w:ascii="Arial" w:cs="Arial" w:eastAsia="Arial" w:hAnsi="Arial"/>
          <w:sz w:val="18"/>
          <w:szCs w:val="18"/>
          <w:color w:val="auto"/>
        </w:rPr>
        <w:t>shares properly submitted in connection with a</w:t>
      </w:r>
    </w:p>
    <w:p>
      <w:pPr>
        <w:ind w:left="4020"/>
        <w:spacing w:after="0" w:line="235" w:lineRule="auto"/>
        <w:rPr>
          <w:sz w:val="20"/>
          <w:szCs w:val="20"/>
          <w:color w:val="auto"/>
        </w:rPr>
      </w:pPr>
      <w:r>
        <w:rPr>
          <w:rFonts w:ascii="Arial" w:cs="Arial" w:eastAsia="Arial" w:hAnsi="Arial"/>
          <w:sz w:val="18"/>
          <w:szCs w:val="18"/>
          <w:color w:val="auto"/>
        </w:rPr>
        <w:t>stockholder vote to amend our amended and restated</w:t>
      </w:r>
    </w:p>
    <w:p>
      <w:pPr>
        <w:ind w:left="4020"/>
        <w:spacing w:after="0" w:line="234" w:lineRule="auto"/>
        <w:rPr>
          <w:sz w:val="20"/>
          <w:szCs w:val="20"/>
          <w:color w:val="auto"/>
        </w:rPr>
      </w:pPr>
      <w:r>
        <w:rPr>
          <w:rFonts w:ascii="Arial" w:cs="Arial" w:eastAsia="Arial" w:hAnsi="Arial"/>
          <w:sz w:val="18"/>
          <w:szCs w:val="18"/>
          <w:color w:val="auto"/>
        </w:rPr>
        <w:t>certificate of incorporation to modify the substance or</w:t>
      </w:r>
    </w:p>
    <w:p>
      <w:pPr>
        <w:ind w:left="4020"/>
        <w:spacing w:after="0" w:line="235" w:lineRule="auto"/>
        <w:rPr>
          <w:sz w:val="20"/>
          <w:szCs w:val="20"/>
          <w:color w:val="auto"/>
        </w:rPr>
      </w:pPr>
      <w:r>
        <w:rPr>
          <w:rFonts w:ascii="Arial" w:cs="Arial" w:eastAsia="Arial" w:hAnsi="Arial"/>
          <w:sz w:val="18"/>
          <w:szCs w:val="18"/>
          <w:color w:val="auto"/>
        </w:rPr>
        <w:t>timing of our obligation to redeem 100% of our public</w:t>
      </w:r>
    </w:p>
    <w:p>
      <w:pPr>
        <w:ind w:left="4020"/>
        <w:spacing w:after="0" w:line="235" w:lineRule="auto"/>
        <w:rPr>
          <w:sz w:val="20"/>
          <w:szCs w:val="20"/>
          <w:color w:val="auto"/>
        </w:rPr>
      </w:pPr>
      <w:r>
        <w:rPr>
          <w:rFonts w:ascii="Arial" w:cs="Arial" w:eastAsia="Arial" w:hAnsi="Arial"/>
          <w:sz w:val="18"/>
          <w:szCs w:val="18"/>
          <w:color w:val="auto"/>
        </w:rPr>
        <w:t>shares if we have not consummated an initial business</w:t>
      </w:r>
    </w:p>
    <w:p>
      <w:pPr>
        <w:ind w:left="4020"/>
        <w:spacing w:after="0" w:line="235" w:lineRule="auto"/>
        <w:rPr>
          <w:sz w:val="20"/>
          <w:szCs w:val="20"/>
          <w:color w:val="auto"/>
        </w:rPr>
      </w:pPr>
      <w:r>
        <w:rPr>
          <w:rFonts w:ascii="Arial" w:cs="Arial" w:eastAsia="Arial" w:hAnsi="Arial"/>
          <w:sz w:val="18"/>
          <w:szCs w:val="18"/>
          <w:color w:val="auto"/>
        </w:rPr>
        <w:t>combination within 24 months from the closing of this</w:t>
      </w:r>
    </w:p>
    <w:p>
      <w:pPr>
        <w:ind w:left="4020"/>
        <w:spacing w:after="0" w:line="235" w:lineRule="auto"/>
        <w:rPr>
          <w:sz w:val="20"/>
          <w:szCs w:val="20"/>
          <w:color w:val="auto"/>
        </w:rPr>
      </w:pPr>
      <w:r>
        <w:rPr>
          <w:rFonts w:ascii="Arial" w:cs="Arial" w:eastAsia="Arial" w:hAnsi="Arial"/>
          <w:sz w:val="18"/>
          <w:szCs w:val="18"/>
          <w:color w:val="auto"/>
        </w:rPr>
        <w:t>offering or with respect to any other material provisions</w:t>
      </w:r>
    </w:p>
    <w:p>
      <w:pPr>
        <w:ind w:left="4020"/>
        <w:spacing w:after="0" w:line="234" w:lineRule="auto"/>
        <w:rPr>
          <w:sz w:val="20"/>
          <w:szCs w:val="20"/>
          <w:color w:val="auto"/>
        </w:rPr>
      </w:pPr>
      <w:r>
        <w:rPr>
          <w:rFonts w:ascii="Arial" w:cs="Arial" w:eastAsia="Arial" w:hAnsi="Arial"/>
          <w:sz w:val="18"/>
          <w:szCs w:val="18"/>
          <w:color w:val="auto"/>
        </w:rPr>
        <w:t>relating to stockholders’ rights or pre-initial business</w:t>
      </w:r>
    </w:p>
    <w:p>
      <w:pPr>
        <w:ind w:left="4020"/>
        <w:spacing w:after="0" w:line="235" w:lineRule="auto"/>
        <w:rPr>
          <w:sz w:val="20"/>
          <w:szCs w:val="20"/>
          <w:color w:val="auto"/>
        </w:rPr>
      </w:pPr>
      <w:r>
        <w:rPr>
          <w:rFonts w:ascii="Arial" w:cs="Arial" w:eastAsia="Arial" w:hAnsi="Arial"/>
          <w:sz w:val="18"/>
          <w:szCs w:val="18"/>
          <w:color w:val="auto"/>
        </w:rPr>
        <w:t>combination activity. The proceeds deposited in the</w:t>
      </w:r>
    </w:p>
    <w:p>
      <w:pPr>
        <w:ind w:left="4020"/>
        <w:spacing w:after="0" w:line="235" w:lineRule="auto"/>
        <w:rPr>
          <w:sz w:val="20"/>
          <w:szCs w:val="20"/>
          <w:color w:val="auto"/>
        </w:rPr>
      </w:pPr>
      <w:r>
        <w:rPr>
          <w:rFonts w:ascii="Arial" w:cs="Arial" w:eastAsia="Arial" w:hAnsi="Arial"/>
          <w:sz w:val="18"/>
          <w:szCs w:val="18"/>
          <w:color w:val="auto"/>
        </w:rPr>
        <w:t>trust account could become subject to the claims of our</w:t>
      </w:r>
    </w:p>
    <w:p>
      <w:pPr>
        <w:ind w:left="4020"/>
        <w:spacing w:after="0" w:line="235" w:lineRule="auto"/>
        <w:rPr>
          <w:sz w:val="20"/>
          <w:szCs w:val="20"/>
          <w:color w:val="auto"/>
        </w:rPr>
      </w:pPr>
      <w:r>
        <w:rPr>
          <w:rFonts w:ascii="Arial" w:cs="Arial" w:eastAsia="Arial" w:hAnsi="Arial"/>
          <w:sz w:val="18"/>
          <w:szCs w:val="18"/>
          <w:color w:val="auto"/>
        </w:rPr>
        <w:t>creditors, if any, which could have priority over the</w:t>
      </w:r>
    </w:p>
    <w:p>
      <w:pPr>
        <w:ind w:left="4020"/>
        <w:spacing w:after="0"/>
        <w:rPr>
          <w:sz w:val="20"/>
          <w:szCs w:val="20"/>
          <w:color w:val="auto"/>
        </w:rPr>
      </w:pPr>
      <w:r>
        <w:rPr>
          <w:rFonts w:ascii="Arial" w:cs="Arial" w:eastAsia="Arial" w:hAnsi="Arial"/>
          <w:sz w:val="18"/>
          <w:szCs w:val="18"/>
          <w:color w:val="auto"/>
        </w:rPr>
        <w:t>claims of our public stockholders.</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Anticipated expenses and funding sources Unless and until we complete our initial business</w:t>
      </w:r>
    </w:p>
    <w:p>
      <w:pPr>
        <w:ind w:left="4020"/>
        <w:spacing w:after="0" w:line="234" w:lineRule="auto"/>
        <w:rPr>
          <w:sz w:val="20"/>
          <w:szCs w:val="20"/>
          <w:color w:val="auto"/>
        </w:rPr>
      </w:pPr>
      <w:r>
        <w:rPr>
          <w:rFonts w:ascii="Arial" w:cs="Arial" w:eastAsia="Arial" w:hAnsi="Arial"/>
          <w:sz w:val="18"/>
          <w:szCs w:val="18"/>
          <w:color w:val="auto"/>
        </w:rPr>
        <w:t>combination, no proceeds held in the trust account will</w:t>
      </w:r>
    </w:p>
    <w:p>
      <w:pPr>
        <w:ind w:left="4020"/>
        <w:spacing w:after="0" w:line="235" w:lineRule="auto"/>
        <w:rPr>
          <w:sz w:val="20"/>
          <w:szCs w:val="20"/>
          <w:color w:val="auto"/>
        </w:rPr>
      </w:pPr>
      <w:r>
        <w:rPr>
          <w:rFonts w:ascii="Arial" w:cs="Arial" w:eastAsia="Arial" w:hAnsi="Arial"/>
          <w:sz w:val="18"/>
          <w:szCs w:val="18"/>
          <w:color w:val="auto"/>
        </w:rPr>
        <w:t>be available for our use, except the withdrawal of</w:t>
      </w:r>
    </w:p>
    <w:p>
      <w:pPr>
        <w:ind w:left="4020"/>
        <w:spacing w:after="0" w:line="235" w:lineRule="auto"/>
        <w:rPr>
          <w:sz w:val="20"/>
          <w:szCs w:val="20"/>
          <w:color w:val="auto"/>
        </w:rPr>
      </w:pPr>
      <w:r>
        <w:rPr>
          <w:rFonts w:ascii="Arial" w:cs="Arial" w:eastAsia="Arial" w:hAnsi="Arial"/>
          <w:sz w:val="18"/>
          <w:szCs w:val="18"/>
          <w:color w:val="auto"/>
        </w:rPr>
        <w:t>interest to pay our taxes and/or to redeem our public</w:t>
      </w:r>
    </w:p>
    <w:p>
      <w:pPr>
        <w:ind w:left="4020"/>
        <w:spacing w:after="0" w:line="235" w:lineRule="auto"/>
        <w:rPr>
          <w:sz w:val="20"/>
          <w:szCs w:val="20"/>
          <w:color w:val="auto"/>
        </w:rPr>
      </w:pPr>
      <w:r>
        <w:rPr>
          <w:rFonts w:ascii="Arial" w:cs="Arial" w:eastAsia="Arial" w:hAnsi="Arial"/>
          <w:sz w:val="18"/>
          <w:szCs w:val="18"/>
          <w:color w:val="auto"/>
        </w:rPr>
        <w:t>shares in connection with an amendment to our</w:t>
      </w:r>
    </w:p>
    <w:p>
      <w:pPr>
        <w:ind w:left="4020"/>
        <w:spacing w:after="0" w:line="235" w:lineRule="auto"/>
        <w:rPr>
          <w:sz w:val="20"/>
          <w:szCs w:val="20"/>
          <w:color w:val="auto"/>
        </w:rPr>
      </w:pPr>
      <w:r>
        <w:rPr>
          <w:rFonts w:ascii="Arial" w:cs="Arial" w:eastAsia="Arial" w:hAnsi="Arial"/>
          <w:sz w:val="18"/>
          <w:szCs w:val="18"/>
          <w:color w:val="auto"/>
        </w:rPr>
        <w:t>amended and restated certificate of incorporation, as</w:t>
      </w:r>
    </w:p>
    <w:p>
      <w:pPr>
        <w:ind w:left="4020"/>
        <w:spacing w:after="0" w:line="234" w:lineRule="auto"/>
        <w:rPr>
          <w:sz w:val="20"/>
          <w:szCs w:val="20"/>
          <w:color w:val="auto"/>
        </w:rPr>
      </w:pPr>
      <w:r>
        <w:rPr>
          <w:rFonts w:ascii="Arial" w:cs="Arial" w:eastAsia="Arial" w:hAnsi="Arial"/>
          <w:sz w:val="18"/>
          <w:szCs w:val="18"/>
          <w:color w:val="auto"/>
        </w:rPr>
        <w:t>described above. The proceeds held in the trust</w:t>
      </w:r>
    </w:p>
    <w:p>
      <w:pPr>
        <w:ind w:left="4020"/>
        <w:spacing w:after="0" w:line="235" w:lineRule="auto"/>
        <w:rPr>
          <w:sz w:val="20"/>
          <w:szCs w:val="20"/>
          <w:color w:val="auto"/>
        </w:rPr>
      </w:pPr>
      <w:r>
        <w:rPr>
          <w:rFonts w:ascii="Arial" w:cs="Arial" w:eastAsia="Arial" w:hAnsi="Arial"/>
          <w:sz w:val="18"/>
          <w:szCs w:val="18"/>
          <w:color w:val="auto"/>
        </w:rPr>
        <w:t>account will be invested only in U.S. government</w:t>
      </w:r>
    </w:p>
    <w:p>
      <w:pPr>
        <w:ind w:left="4020"/>
        <w:spacing w:after="0" w:line="235" w:lineRule="auto"/>
        <w:rPr>
          <w:sz w:val="20"/>
          <w:szCs w:val="20"/>
          <w:color w:val="auto"/>
        </w:rPr>
      </w:pPr>
      <w:r>
        <w:rPr>
          <w:rFonts w:ascii="Arial" w:cs="Arial" w:eastAsia="Arial" w:hAnsi="Arial"/>
          <w:sz w:val="18"/>
          <w:szCs w:val="18"/>
          <w:color w:val="auto"/>
        </w:rPr>
        <w:t>treasury obligations with a maturity of 185 days or less</w:t>
      </w:r>
    </w:p>
    <w:p>
      <w:pPr>
        <w:ind w:left="4020"/>
        <w:spacing w:after="0" w:line="235" w:lineRule="auto"/>
        <w:rPr>
          <w:sz w:val="20"/>
          <w:szCs w:val="20"/>
          <w:color w:val="auto"/>
        </w:rPr>
      </w:pPr>
      <w:r>
        <w:rPr>
          <w:rFonts w:ascii="Arial" w:cs="Arial" w:eastAsia="Arial" w:hAnsi="Arial"/>
          <w:sz w:val="18"/>
          <w:szCs w:val="18"/>
          <w:color w:val="auto"/>
        </w:rPr>
        <w:t>or in money market funds meeting certain conditions</w:t>
      </w:r>
    </w:p>
    <w:p>
      <w:pPr>
        <w:ind w:left="4020"/>
        <w:spacing w:after="0" w:line="235" w:lineRule="auto"/>
        <w:rPr>
          <w:sz w:val="20"/>
          <w:szCs w:val="20"/>
          <w:color w:val="auto"/>
        </w:rPr>
      </w:pPr>
      <w:r>
        <w:rPr>
          <w:rFonts w:ascii="Arial" w:cs="Arial" w:eastAsia="Arial" w:hAnsi="Arial"/>
          <w:sz w:val="18"/>
          <w:szCs w:val="18"/>
          <w:color w:val="auto"/>
        </w:rPr>
        <w:t>under Rule 2a-7 under the Investment Company Act</w:t>
      </w:r>
    </w:p>
    <w:p>
      <w:pPr>
        <w:ind w:left="4020"/>
        <w:spacing w:after="0" w:line="234" w:lineRule="auto"/>
        <w:rPr>
          <w:sz w:val="20"/>
          <w:szCs w:val="20"/>
          <w:color w:val="auto"/>
        </w:rPr>
      </w:pPr>
      <w:r>
        <w:rPr>
          <w:rFonts w:ascii="Arial" w:cs="Arial" w:eastAsia="Arial" w:hAnsi="Arial"/>
          <w:sz w:val="18"/>
          <w:szCs w:val="18"/>
          <w:color w:val="auto"/>
        </w:rPr>
        <w:t>which invest only in direct U.S. government treasury</w:t>
      </w:r>
    </w:p>
    <w:p>
      <w:pPr>
        <w:ind w:left="4020"/>
        <w:spacing w:after="0" w:line="235" w:lineRule="auto"/>
        <w:rPr>
          <w:sz w:val="20"/>
          <w:szCs w:val="20"/>
          <w:color w:val="auto"/>
        </w:rPr>
      </w:pPr>
      <w:r>
        <w:rPr>
          <w:rFonts w:ascii="Arial" w:cs="Arial" w:eastAsia="Arial" w:hAnsi="Arial"/>
          <w:sz w:val="18"/>
          <w:szCs w:val="18"/>
          <w:color w:val="auto"/>
        </w:rPr>
        <w:t>obligations. We estimate the interest earned on the</w:t>
      </w:r>
    </w:p>
    <w:p>
      <w:pPr>
        <w:ind w:left="4020"/>
        <w:spacing w:after="0" w:line="235" w:lineRule="auto"/>
        <w:rPr>
          <w:sz w:val="20"/>
          <w:szCs w:val="20"/>
          <w:color w:val="auto"/>
        </w:rPr>
      </w:pPr>
      <w:r>
        <w:rPr>
          <w:rFonts w:ascii="Arial" w:cs="Arial" w:eastAsia="Arial" w:hAnsi="Arial"/>
          <w:sz w:val="18"/>
          <w:szCs w:val="18"/>
          <w:color w:val="auto"/>
        </w:rPr>
        <w:t>trust account will be approximately $100,000 per year,</w:t>
      </w:r>
    </w:p>
    <w:p>
      <w:pPr>
        <w:ind w:left="4020"/>
        <w:spacing w:after="0" w:line="235" w:lineRule="auto"/>
        <w:rPr>
          <w:sz w:val="20"/>
          <w:szCs w:val="20"/>
          <w:color w:val="auto"/>
        </w:rPr>
      </w:pPr>
      <w:r>
        <w:rPr>
          <w:rFonts w:ascii="Arial" w:cs="Arial" w:eastAsia="Arial" w:hAnsi="Arial"/>
          <w:sz w:val="18"/>
          <w:szCs w:val="18"/>
          <w:color w:val="auto"/>
        </w:rPr>
        <w:t>assuming an interest rate of 0.1% per year; however</w:t>
      </w:r>
    </w:p>
    <w:p>
      <w:pPr>
        <w:ind w:left="4020"/>
        <w:spacing w:after="0" w:line="235" w:lineRule="auto"/>
        <w:rPr>
          <w:sz w:val="20"/>
          <w:szCs w:val="20"/>
          <w:color w:val="auto"/>
        </w:rPr>
      </w:pPr>
      <w:r>
        <w:rPr>
          <w:rFonts w:ascii="Arial" w:cs="Arial" w:eastAsia="Arial" w:hAnsi="Arial"/>
          <w:sz w:val="18"/>
          <w:szCs w:val="18"/>
          <w:color w:val="auto"/>
        </w:rPr>
        <w:t>we can provide no assurances regarding this amount.</w:t>
      </w:r>
    </w:p>
    <w:p>
      <w:pPr>
        <w:ind w:left="4020"/>
        <w:spacing w:after="0" w:line="234" w:lineRule="auto"/>
        <w:rPr>
          <w:sz w:val="20"/>
          <w:szCs w:val="20"/>
          <w:color w:val="auto"/>
        </w:rPr>
      </w:pPr>
      <w:r>
        <w:rPr>
          <w:rFonts w:ascii="Arial" w:cs="Arial" w:eastAsia="Arial" w:hAnsi="Arial"/>
          <w:sz w:val="18"/>
          <w:szCs w:val="18"/>
          <w:color w:val="auto"/>
        </w:rPr>
        <w:t>Unless and until we complete our initial business</w:t>
      </w:r>
    </w:p>
    <w:p>
      <w:pPr>
        <w:ind w:left="4020"/>
        <w:spacing w:after="0" w:line="235" w:lineRule="auto"/>
        <w:rPr>
          <w:sz w:val="20"/>
          <w:szCs w:val="20"/>
          <w:color w:val="auto"/>
        </w:rPr>
      </w:pPr>
      <w:r>
        <w:rPr>
          <w:rFonts w:ascii="Arial" w:cs="Arial" w:eastAsia="Arial" w:hAnsi="Arial"/>
          <w:sz w:val="18"/>
          <w:szCs w:val="18"/>
          <w:color w:val="auto"/>
        </w:rPr>
        <w:t>combination, we may pay our expenses only from such</w:t>
      </w:r>
    </w:p>
    <w:p>
      <w:pPr>
        <w:spacing w:after="0" w:line="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interest withdrawn from the trust account and:</w:t>
      </w:r>
    </w:p>
    <w:p>
      <w:pPr>
        <w:spacing w:after="0" w:line="185" w:lineRule="exact"/>
        <w:rPr>
          <w:sz w:val="20"/>
          <w:szCs w:val="20"/>
          <w:color w:val="auto"/>
        </w:rPr>
      </w:pPr>
    </w:p>
    <w:p>
      <w:pPr>
        <w:ind w:left="4440" w:right="599" w:hanging="211"/>
        <w:spacing w:after="0" w:line="237" w:lineRule="auto"/>
        <w:tabs>
          <w:tab w:leader="none" w:pos="4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net proceeds of this offering and the sale of the private placement warrants not held in the trust account, which initially will be approximately $1,000,000 in working capital after the payment of approximately $1,000,000 in expenses relating to this offering; and</w:t>
      </w:r>
    </w:p>
    <w:p>
      <w:pPr>
        <w:spacing w:after="0" w:line="177" w:lineRule="exact"/>
        <w:rPr>
          <w:rFonts w:ascii="Arial" w:cs="Arial" w:eastAsia="Arial" w:hAnsi="Arial"/>
          <w:sz w:val="18"/>
          <w:szCs w:val="18"/>
          <w:color w:val="auto"/>
        </w:rPr>
      </w:pPr>
    </w:p>
    <w:p>
      <w:pPr>
        <w:ind w:left="4440" w:right="579" w:hanging="211"/>
        <w:spacing w:after="0" w:line="236" w:lineRule="auto"/>
        <w:tabs>
          <w:tab w:leader="none" w:pos="44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any loans or additional investments from our sponsor, members of our management team or their affiliates or other third parties, although they are under no obligation to advance funds or invest in us, and provided that any such loans will not have any claim on the proceeds held in the trust account unless such proceeds are released to us upon completion of our initial business combination. Up to $1,500,000 of such loans may be convertible into private placement warrants, at a price of $1.50 per warrant, at the option of the lender.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720" w:hanging="179"/>
        <w:spacing w:after="0" w:line="246" w:lineRule="auto"/>
        <w:rPr>
          <w:sz w:val="20"/>
          <w:szCs w:val="20"/>
          <w:color w:val="auto"/>
        </w:rPr>
      </w:pPr>
      <w:r>
        <w:rPr>
          <w:rFonts w:ascii="Arial" w:cs="Arial" w:eastAsia="Arial" w:hAnsi="Arial"/>
          <w:sz w:val="18"/>
          <w:szCs w:val="18"/>
          <w:color w:val="auto"/>
        </w:rPr>
        <w:t>Conditions to completing our initial business combination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79"/>
        <w:spacing w:after="0" w:line="234"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We will complete our initial business combination only if the post-transaction company in which our public stockholders own shares will own or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-3314700</wp:posOffset>
            </wp:positionV>
            <wp:extent cx="5147310" cy="7451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7451725"/>
                    </a:xfrm>
                    <a:prstGeom prst="rect">
                      <a:avLst/>
                    </a:prstGeom>
                    <a:noFill/>
                  </pic:spPr>
                </pic:pic>
              </a:graphicData>
            </a:graphic>
          </wp:anchor>
        </w:drawing>
      </w:r>
    </w:p>
    <w:p>
      <w:pPr>
        <w:ind w:right="579"/>
        <w:spacing w:after="0" w:line="249" w:lineRule="auto"/>
        <w:rPr>
          <w:sz w:val="20"/>
          <w:szCs w:val="20"/>
          <w:color w:val="auto"/>
        </w:rPr>
      </w:pPr>
      <w:r>
        <w:rPr>
          <w:rFonts w:ascii="Arial" w:cs="Arial" w:eastAsia="Arial" w:hAnsi="Arial"/>
          <w:sz w:val="17"/>
          <w:szCs w:val="17"/>
          <w:color w:val="auto"/>
        </w:rPr>
        <w:t>50% or more of the outstanding voting securities of the target or is otherwise not required to register as an investment company under the Investment Company Act. Even if the post-transaction company owns or acquires 50% or more of the voting securities of the target, our stockholders prior to our initial business combination may collectively own a minority interest in the post business combination company, depending on valuations ascribed to the target and us in the business combination transaction. For example, we could pursue a transaction in which we issue a substantial number of new shares in exchange for all of the outstanding capital stock or shares of a target. In this case, we would acquire a 100% controlling interest in the target. However, as a result of the issuance of a substantial number of new shares, our stockholders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provided that in the event that the business combination involves more than one target business, the 80% of net assets test will be based on the aggregate value of all of the target businesses and we will treat the target businesses together as our initial business combination for purposes of a seeking stockholder approval or conducting a tender offer, as applicable.</w:t>
      </w:r>
    </w:p>
    <w:p>
      <w:pPr>
        <w:spacing w:after="0" w:line="200" w:lineRule="exact"/>
        <w:rPr>
          <w:sz w:val="20"/>
          <w:szCs w:val="20"/>
          <w:color w:val="auto"/>
        </w:rPr>
      </w:pPr>
    </w:p>
    <w:p>
      <w:pPr>
        <w:sectPr>
          <w:pgSz w:w="11900" w:h="16838" w:orient="portrait"/>
          <w:cols w:equalWidth="0" w:num="2">
            <w:col w:w="3280" w:space="440"/>
            <w:col w:w="5299"/>
          </w:cols>
          <w:pgMar w:left="1440" w:top="51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jc w:val="right"/>
        <w:ind w:left="540"/>
        <w:spacing w:after="0" w:line="246" w:lineRule="auto"/>
        <w:rPr>
          <w:sz w:val="20"/>
          <w:szCs w:val="20"/>
          <w:color w:val="auto"/>
        </w:rPr>
      </w:pPr>
      <w:r>
        <w:rPr>
          <w:rFonts w:ascii="Arial" w:cs="Arial" w:eastAsia="Arial" w:hAnsi="Arial"/>
          <w:sz w:val="18"/>
          <w:szCs w:val="18"/>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held in the trust account will be used to purchase shares or public warrants in such transactions. If they engage in such transactions, they will be restricted from making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We expect any such purchases will be reported pursuant to Section 13 and Section 16 of the Exchange Act to the extent such purchasers are subject to such reporting requirements. See “Proposed Business — Permitted purchases of our securities” for a description of how our sponsor, initial stockholders, directors, executive officers, advisors or any of their affiliates will select which stockholders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-5386705</wp:posOffset>
            </wp:positionV>
            <wp:extent cx="5147310" cy="84715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8471535"/>
                    </a:xfrm>
                    <a:prstGeom prst="rect">
                      <a:avLst/>
                    </a:prstGeom>
                    <a:noFill/>
                  </pic:spPr>
                </pic:pic>
              </a:graphicData>
            </a:graphic>
          </wp:anchor>
        </w:drawing>
      </w:r>
    </w:p>
    <w:p>
      <w:pPr>
        <w:spacing w:after="0" w:line="162"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ectPr>
          <w:pgSz w:w="11900" w:h="16838" w:orient="portrait"/>
          <w:cols w:equalWidth="0" w:num="2">
            <w:col w:w="3540" w:space="180"/>
            <w:col w:w="5299"/>
          </w:cols>
          <w:pgMar w:left="1440" w:top="517"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720" w:hanging="179"/>
        <w:spacing w:after="0"/>
        <w:rPr>
          <w:sz w:val="20"/>
          <w:szCs w:val="20"/>
          <w:color w:val="auto"/>
        </w:rPr>
      </w:pPr>
      <w:r>
        <w:rPr>
          <w:rFonts w:ascii="Arial" w:cs="Arial" w:eastAsia="Arial" w:hAnsi="Arial"/>
          <w:sz w:val="18"/>
          <w:szCs w:val="18"/>
          <w:color w:val="auto"/>
        </w:rPr>
        <w:t>Redemption rights for public stockholders upon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Limitations on redemptions</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There will be no redemption rights upon the completion of our initial business combination with respect to our warrants. Our initial stockholders, sponsor, officers and directors have entered into a letter agreement with us, pursuant to which they have agreed to waive their redemption rights with respect to any founder shares they hold and any public shares they may acquire during or after this offering in connection with the completion of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-3584575</wp:posOffset>
            </wp:positionV>
            <wp:extent cx="5147310" cy="8848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8848725"/>
                    </a:xfrm>
                    <a:prstGeom prst="rect">
                      <a:avLst/>
                    </a:prstGeom>
                    <a:noFill/>
                  </pic:spPr>
                </pic:pic>
              </a:graphicData>
            </a:graphic>
          </wp:anchor>
        </w:drawing>
      </w:r>
    </w:p>
    <w:p>
      <w:pPr>
        <w:spacing w:after="0" w:line="165" w:lineRule="exact"/>
        <w:rPr>
          <w:sz w:val="20"/>
          <w:szCs w:val="20"/>
          <w:color w:val="auto"/>
        </w:rPr>
      </w:pPr>
    </w:p>
    <w:p>
      <w:pPr>
        <w:ind w:right="55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0" w:lineRule="exact"/>
        <w:rPr>
          <w:sz w:val="20"/>
          <w:szCs w:val="20"/>
          <w:color w:val="auto"/>
        </w:rPr>
      </w:pPr>
    </w:p>
    <w:p>
      <w:pPr>
        <w:sectPr>
          <w:pgSz w:w="11900" w:h="16838" w:orient="portrait"/>
          <w:cols w:equalWidth="0" w:num="2">
            <w:col w:w="3620" w:space="100"/>
            <w:col w:w="5299"/>
          </w:cols>
          <w:pgMar w:left="1440" w:top="517" w:right="1440" w:bottom="1440" w:gutter="0" w:footer="0" w:header="0"/>
        </w:sectPr>
      </w:pPr>
    </w:p>
    <w:p>
      <w:pPr>
        <w:ind w:left="540"/>
        <w:spacing w:after="0"/>
        <w:tabs>
          <w:tab w:leader="none" w:pos="3700" w:val="left"/>
        </w:tabs>
        <w:rPr>
          <w:sz w:val="20"/>
          <w:szCs w:val="20"/>
          <w:color w:val="auto"/>
        </w:rPr>
      </w:pPr>
      <w:r>
        <w:rPr>
          <w:rFonts w:ascii="Arial" w:cs="Arial" w:eastAsia="Arial" w:hAnsi="Arial"/>
          <w:sz w:val="18"/>
          <w:szCs w:val="18"/>
          <w:color w:val="auto"/>
        </w:rPr>
        <w:t>Manner of conducting redemptions</w:t>
      </w:r>
      <w:r>
        <w:rPr>
          <w:sz w:val="20"/>
          <w:szCs w:val="20"/>
          <w:color w:val="auto"/>
        </w:rPr>
        <w:tab/>
      </w:r>
      <w:r>
        <w:rPr>
          <w:rFonts w:ascii="Arial" w:cs="Arial" w:eastAsia="Arial" w:hAnsi="Arial"/>
          <w:sz w:val="18"/>
          <w:szCs w:val="18"/>
          <w:color w:val="auto"/>
        </w:rPr>
        <w:t>We will provide our public stockholders with the opportunity</w:t>
      </w:r>
    </w:p>
    <w:p>
      <w:pPr>
        <w:ind w:left="3720" w:right="659"/>
        <w:spacing w:after="0" w:line="236" w:lineRule="auto"/>
        <w:rPr>
          <w:sz w:val="20"/>
          <w:szCs w:val="20"/>
          <w:color w:val="auto"/>
        </w:rPr>
      </w:pPr>
      <w:r>
        <w:rPr>
          <w:rFonts w:ascii="Arial" w:cs="Arial" w:eastAsia="Arial" w:hAnsi="Arial"/>
          <w:sz w:val="18"/>
          <w:szCs w:val="18"/>
          <w:color w:val="auto"/>
        </w:rPr>
        <w:t>to redeem all or a portion of their public shares upon the completion of our initial business combination either (i) in connection with a stockholder meeting called to approve the business combination or (ii) without a stockholder vote by means of a tender offer. The decision as to whether we will seek stockholder approval of a proposed business combination or conduct a tender offer will be made by us, solely in our discretion, and will be based on a variety of factors such as the timing of the transaction and whether the terms of the transaction would require us</w:t>
      </w:r>
    </w:p>
    <w:p>
      <w:pPr>
        <w:sectPr>
          <w:pgSz w:w="11900" w:h="16838" w:orient="portrait"/>
          <w:cols w:equalWidth="0" w:num="1">
            <w:col w:w="9019"/>
          </w:cols>
          <w:pgMar w:left="1440" w:top="517" w:right="1440" w:bottom="1440" w:gutter="0" w:footer="0" w:header="0"/>
          <w:type w:val="continuous"/>
        </w:sect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3720" w:right="599"/>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30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9303385"/>
                    </a:xfrm>
                    <a:prstGeom prst="rect">
                      <a:avLst/>
                    </a:prstGeom>
                    <a:noFill/>
                  </pic:spPr>
                </pic:pic>
              </a:graphicData>
            </a:graphic>
          </wp:anchor>
        </w:drawing>
        <w:t>to seek stockholder approval under applicable law or stock exchange listing requirement. Asset acquisitions and share purchases would not typically require stockholder approval while direct mergers with our company where we do not survive and any transactions where we issue more than 20% of our outstanding Class A common stock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78" w:lineRule="exact"/>
        <w:rPr>
          <w:sz w:val="20"/>
          <w:szCs w:val="20"/>
          <w:color w:val="auto"/>
        </w:rPr>
      </w:pPr>
    </w:p>
    <w:p>
      <w:pPr>
        <w:ind w:left="3720" w:right="559"/>
        <w:spacing w:after="0" w:line="236"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79" w:lineRule="exact"/>
        <w:rPr>
          <w:sz w:val="20"/>
          <w:szCs w:val="20"/>
          <w:color w:val="auto"/>
        </w:rPr>
      </w:pPr>
    </w:p>
    <w:p>
      <w:pPr>
        <w:jc w:val="both"/>
        <w:ind w:left="3720" w:right="559"/>
        <w:spacing w:after="0"/>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176" w:lineRule="exact"/>
        <w:rPr>
          <w:sz w:val="20"/>
          <w:szCs w:val="20"/>
          <w:color w:val="auto"/>
        </w:rPr>
      </w:pPr>
    </w:p>
    <w:p>
      <w:pPr>
        <w:ind w:left="4160" w:right="739" w:hanging="214"/>
        <w:spacing w:after="0" w:line="238" w:lineRule="auto"/>
        <w:tabs>
          <w:tab w:leader="none" w:pos="41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75" w:lineRule="exact"/>
        <w:rPr>
          <w:rFonts w:ascii="Arial" w:cs="Arial" w:eastAsia="Arial" w:hAnsi="Arial"/>
          <w:sz w:val="18"/>
          <w:szCs w:val="18"/>
          <w:color w:val="auto"/>
        </w:rPr>
      </w:pPr>
    </w:p>
    <w:p>
      <w:pPr>
        <w:ind w:left="4160" w:hanging="214"/>
        <w:spacing w:after="0"/>
        <w:tabs>
          <w:tab w:leader="none" w:pos="4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85"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3,750,001, or 37.5%, of the 10,000,000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agreements of our initial stockholders, may make it more likely that we will consummate our initial business 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65" w:right="1440" w:bottom="1105" w:gutter="0" w:footer="0" w:header="0"/>
        </w:sectPr>
      </w:pPr>
    </w:p>
    <w:bookmarkStart w:id="26" w:name="page27"/>
    <w:bookmarkEnd w:id="26"/>
    <w:p>
      <w:pPr>
        <w:ind w:left="3720" w:right="7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208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9208770"/>
                    </a:xfrm>
                    <a:prstGeom prst="rect">
                      <a:avLst/>
                    </a:prstGeom>
                    <a:noFill/>
                  </pic:spPr>
                </pic:pic>
              </a:graphicData>
            </a:graphic>
          </wp:anchor>
        </w:drawing>
        <w:t>If a stockholder vote is not required and we do not decide to hold a stockholder vote for business or other legal reasons, we will:</w:t>
      </w:r>
    </w:p>
    <w:p>
      <w:pPr>
        <w:spacing w:after="0" w:line="176" w:lineRule="exact"/>
        <w:rPr>
          <w:sz w:val="20"/>
          <w:szCs w:val="20"/>
          <w:color w:val="auto"/>
        </w:rPr>
      </w:pPr>
    </w:p>
    <w:p>
      <w:pPr>
        <w:jc w:val="both"/>
        <w:ind w:left="4160" w:right="659" w:hanging="214"/>
        <w:spacing w:after="0"/>
        <w:tabs>
          <w:tab w:leader="none" w:pos="41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75" w:lineRule="exact"/>
        <w:rPr>
          <w:rFonts w:ascii="Arial" w:cs="Arial" w:eastAsia="Arial" w:hAnsi="Arial"/>
          <w:sz w:val="18"/>
          <w:szCs w:val="18"/>
          <w:color w:val="auto"/>
        </w:rPr>
      </w:pPr>
    </w:p>
    <w:p>
      <w:pPr>
        <w:ind w:left="4160" w:right="559" w:hanging="214"/>
        <w:spacing w:after="0" w:line="237" w:lineRule="auto"/>
        <w:tabs>
          <w:tab w:leader="none" w:pos="4157"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which regulates the solicitation of proxies.</w:t>
      </w:r>
    </w:p>
    <w:p>
      <w:pPr>
        <w:spacing w:after="0" w:line="176" w:lineRule="exact"/>
        <w:rPr>
          <w:sz w:val="20"/>
          <w:szCs w:val="20"/>
          <w:color w:val="auto"/>
        </w:rPr>
      </w:pPr>
    </w:p>
    <w:p>
      <w:pPr>
        <w:ind w:left="3720" w:right="63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the number of public shares we are permitted to redeem. If public stockholders tender more shares than we have offered to purchase, we will withdraw the tender offer and not complete such initial business combination.</w:t>
      </w:r>
    </w:p>
    <w:p>
      <w:pPr>
        <w:spacing w:after="0" w:line="28" w:lineRule="exact"/>
        <w:rPr>
          <w:sz w:val="20"/>
          <w:szCs w:val="20"/>
          <w:color w:val="auto"/>
        </w:rPr>
      </w:pPr>
    </w:p>
    <w:p>
      <w:pPr>
        <w:ind w:left="3720" w:right="619"/>
        <w:spacing w:after="0" w:line="237"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76" w:lineRule="exact"/>
        <w:rPr>
          <w:sz w:val="20"/>
          <w:szCs w:val="20"/>
          <w:color w:val="auto"/>
        </w:rPr>
      </w:pPr>
    </w:p>
    <w:p>
      <w:pPr>
        <w:ind w:left="3720" w:right="5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7" w:name="page28"/>
    <w:bookmarkEnd w:id="27"/>
    <w:p>
      <w:pPr>
        <w:ind w:left="720" w:right="80" w:hanging="179"/>
        <w:spacing w:after="0" w:line="238" w:lineRule="auto"/>
        <w:rPr>
          <w:sz w:val="20"/>
          <w:szCs w:val="20"/>
          <w:color w:val="auto"/>
        </w:rPr>
      </w:pPr>
      <w:r>
        <w:rPr>
          <w:rFonts w:ascii="Arial" w:cs="Arial" w:eastAsia="Arial" w:hAnsi="Arial"/>
          <w:sz w:val="18"/>
          <w:szCs w:val="18"/>
          <w:color w:val="auto"/>
        </w:rPr>
        <w:t>Limitation on redemption rights of stockholders holding 20% or more of the shares sold in this offering if we hold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720" w:hanging="179"/>
        <w:spacing w:after="0" w:line="274" w:lineRule="auto"/>
        <w:rPr>
          <w:sz w:val="20"/>
          <w:szCs w:val="20"/>
          <w:color w:val="auto"/>
        </w:rPr>
      </w:pPr>
      <w:r>
        <w:rPr>
          <w:rFonts w:ascii="Arial" w:cs="Arial" w:eastAsia="Arial" w:hAnsi="Arial"/>
          <w:sz w:val="17"/>
          <w:szCs w:val="17"/>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right="579"/>
        <w:spacing w:after="0" w:line="235" w:lineRule="auto"/>
        <w:rPr>
          <w:sz w:val="20"/>
          <w:szCs w:val="20"/>
          <w:color w:val="auto"/>
        </w:rPr>
      </w:pPr>
      <w:r>
        <w:rPr>
          <w:rFonts w:ascii="Arial" w:cs="Arial" w:eastAsia="Arial" w:hAnsi="Arial"/>
          <w:sz w:val="18"/>
          <w:szCs w:val="18"/>
          <w:color w:val="auto"/>
        </w:rPr>
        <w:t>Notwithstanding the foregoing redemption rights, 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20% of the shares sold in this offering, without our prior consent. We believe the restriction described above will discourage stockholders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stockholders’ ability to redeem to no more than 20% of the shares sold in this offering,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stockholders’ ability to vote all of their shares (including all shares held by those stockholders that hold more than 20% of the shares sold in this offering)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-2443480</wp:posOffset>
            </wp:positionH>
            <wp:positionV relativeFrom="paragraph">
              <wp:posOffset>-6029960</wp:posOffset>
            </wp:positionV>
            <wp:extent cx="5147310" cy="9757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9757410"/>
                    </a:xfrm>
                    <a:prstGeom prst="rect">
                      <a:avLst/>
                    </a:prstGeom>
                    <a:noFill/>
                  </pic:spPr>
                </pic:pic>
              </a:graphicData>
            </a:graphic>
          </wp:anchor>
        </w:drawing>
      </w:r>
    </w:p>
    <w:p>
      <w:pPr>
        <w:spacing w:after="0" w:line="364" w:lineRule="exact"/>
        <w:rPr>
          <w:sz w:val="20"/>
          <w:szCs w:val="20"/>
          <w:color w:val="auto"/>
        </w:rPr>
      </w:pPr>
    </w:p>
    <w:p>
      <w:pPr>
        <w:ind w:right="599"/>
        <w:spacing w:after="0" w:line="249" w:lineRule="auto"/>
        <w:rPr>
          <w:sz w:val="20"/>
          <w:szCs w:val="20"/>
          <w:color w:val="auto"/>
        </w:rPr>
      </w:pPr>
      <w:r>
        <w:rPr>
          <w:rFonts w:ascii="Arial" w:cs="Arial" w:eastAsia="Arial" w:hAnsi="Arial"/>
          <w:sz w:val="17"/>
          <w:szCs w:val="17"/>
          <w:color w:val="auto"/>
        </w:rPr>
        <w:t>On the completion of our initial business combination, the funds held in the trust account will be used to pay amounts due to any public stockholders who properly exercise their redemption rights as described above under “Redemption rights for public stockholders upon completion of our initial business combination,” to pay the underwriters their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or the redemption of our public shares,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4020" w:space="280"/>
            <w:col w:w="4719"/>
          </w:cols>
          <w:pgMar w:left="1440" w:top="517" w:right="1440" w:bottom="401"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401" w:gutter="0" w:footer="0" w:header="0"/>
          <w:type w:val="continuous"/>
        </w:sectPr>
      </w:pPr>
    </w:p>
    <w:bookmarkStart w:id="28" w:name="page29"/>
    <w:bookmarkEnd w:id="28"/>
    <w:p>
      <w:pPr>
        <w:jc w:val="both"/>
        <w:ind w:left="720" w:hanging="179"/>
        <w:spacing w:after="0"/>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right="579"/>
        <w:spacing w:after="0" w:line="248"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or during any Extension Period. If we are unable to complete our initial business combination within such 24-month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-2676525</wp:posOffset>
            </wp:positionV>
            <wp:extent cx="5147310" cy="70485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7310" cy="7048500"/>
                    </a:xfrm>
                    <a:prstGeom prst="rect">
                      <a:avLst/>
                    </a:prstGeom>
                    <a:noFill/>
                  </pic:spPr>
                </pic:pic>
              </a:graphicData>
            </a:graphic>
          </wp:anchor>
        </w:drawing>
      </w:r>
    </w:p>
    <w:p>
      <w:pPr>
        <w:ind w:right="599" w:firstLine="10"/>
        <w:spacing w:after="0" w:line="236" w:lineRule="auto"/>
        <w:tabs>
          <w:tab w:leader="none" w:pos="29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w:t>
      </w:r>
    </w:p>
    <w:p>
      <w:pPr>
        <w:spacing w:after="0" w:line="179" w:lineRule="exact"/>
        <w:rPr>
          <w:sz w:val="20"/>
          <w:szCs w:val="20"/>
          <w:color w:val="auto"/>
        </w:rPr>
      </w:pPr>
    </w:p>
    <w:p>
      <w:pPr>
        <w:ind w:right="579"/>
        <w:spacing w:after="0" w:line="236" w:lineRule="auto"/>
        <w:rPr>
          <w:sz w:val="20"/>
          <w:szCs w:val="20"/>
          <w:color w:val="auto"/>
        </w:rPr>
      </w:pPr>
      <w:r>
        <w:rPr>
          <w:rFonts w:ascii="Arial" w:cs="Arial" w:eastAsia="Arial" w:hAnsi="Arial"/>
          <w:sz w:val="18"/>
          <w:szCs w:val="18"/>
          <w:color w:val="auto"/>
        </w:rPr>
        <w:t>Our initial stockholders have entered into agreements with us, pursuant to which they have waived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allotted 24-month time frame.</w:t>
      </w:r>
    </w:p>
    <w:p>
      <w:pPr>
        <w:spacing w:after="0" w:line="177" w:lineRule="exact"/>
        <w:rPr>
          <w:sz w:val="20"/>
          <w:szCs w:val="20"/>
          <w:color w:val="auto"/>
        </w:rPr>
      </w:pPr>
    </w:p>
    <w:p>
      <w:pPr>
        <w:ind w:right="619"/>
        <w:spacing w:after="0" w:line="236" w:lineRule="auto"/>
        <w:rPr>
          <w:sz w:val="20"/>
          <w:szCs w:val="20"/>
          <w:color w:val="auto"/>
        </w:rPr>
      </w:pPr>
      <w:r>
        <w:rPr>
          <w:rFonts w:ascii="Arial" w:cs="Arial" w:eastAsia="Arial" w:hAnsi="Arial"/>
          <w:sz w:val="18"/>
          <w:szCs w:val="18"/>
          <w:color w:val="auto"/>
        </w:rPr>
        <w:t>The underwriters have agreed to waive their rights to their deferred underwriting commission held in the trust account in the event we do not complete our initial business combination within 24 months from the closing of this offering or during any Extension Period and, in such event, such amounts will be included with the funds held in the trust account that will be available to fund the redemption of our public shares.</w:t>
      </w:r>
    </w:p>
    <w:p>
      <w:pPr>
        <w:spacing w:after="0" w:line="200" w:lineRule="exact"/>
        <w:rPr>
          <w:sz w:val="20"/>
          <w:szCs w:val="20"/>
          <w:color w:val="auto"/>
        </w:rPr>
      </w:pPr>
    </w:p>
    <w:p>
      <w:pPr>
        <w:sectPr>
          <w:pgSz w:w="11900" w:h="16838" w:orient="portrait"/>
          <w:cols w:equalWidth="0" w:num="2">
            <w:col w:w="3200" w:space="520"/>
            <w:col w:w="5299"/>
          </w:cols>
          <w:pgMar w:left="1440" w:top="517" w:right="1440"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3720" w:right="559"/>
        <w:spacing w:after="0" w:line="23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233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7310" cy="8823325"/>
                    </a:xfrm>
                    <a:prstGeom prst="rect">
                      <a:avLst/>
                    </a:prstGeom>
                    <a:noFill/>
                  </pic:spPr>
                </pic:pic>
              </a:graphicData>
            </a:graphic>
          </wp:anchor>
        </w:drawing>
        <w:t>Our sponsor, executive officers, directors and director nominees have agreed, pursuant to a written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above under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stockholder approval of such proposal, and in connection therewith, provide our public stockholders with the redemption rights described above upon stockholder approval of such amendment.</w:t>
      </w:r>
    </w:p>
    <w:p>
      <w:pPr>
        <w:spacing w:after="0" w:line="180"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8"/>
          <w:szCs w:val="18"/>
          <w:color w:val="auto"/>
        </w:rPr>
        <w:t>There will be no finder’s fees, reimbursement, consulting</w:t>
      </w:r>
    </w:p>
    <w:p>
      <w:pPr>
        <w:ind w:left="3720" w:right="559"/>
        <w:spacing w:after="0" w:line="236" w:lineRule="auto"/>
        <w:rPr>
          <w:sz w:val="20"/>
          <w:szCs w:val="20"/>
          <w:color w:val="auto"/>
        </w:rPr>
      </w:pPr>
      <w:r>
        <w:rPr>
          <w:rFonts w:ascii="Arial" w:cs="Arial" w:eastAsia="Arial" w:hAnsi="Arial"/>
          <w:sz w:val="18"/>
          <w:szCs w:val="18"/>
          <w:color w:val="auto"/>
        </w:rPr>
        <w:t>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However, the following payments will be made to our sponsor, officers or directors, or our or their affiliates, and, if made prior to our initial business combination will be made from funds held outside the trust account.</w:t>
      </w:r>
    </w:p>
    <w:p>
      <w:pPr>
        <w:spacing w:after="0" w:line="174"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tab/>
        <w:t>Repayment of up to an aggregate of $200,000 in</w:t>
      </w:r>
    </w:p>
    <w:p>
      <w:pPr>
        <w:ind w:left="4160"/>
        <w:spacing w:after="0" w:line="234" w:lineRule="auto"/>
        <w:rPr>
          <w:sz w:val="20"/>
          <w:szCs w:val="20"/>
          <w:color w:val="auto"/>
        </w:rPr>
      </w:pPr>
      <w:r>
        <w:rPr>
          <w:rFonts w:ascii="Arial" w:cs="Arial" w:eastAsia="Arial" w:hAnsi="Arial"/>
          <w:sz w:val="18"/>
          <w:szCs w:val="18"/>
          <w:color w:val="auto"/>
        </w:rPr>
        <w:t>loans made to us by our sponsor to cover offering-</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related and organizational expenses;</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Payment to our sponsor of $10,000 per month for</w:t>
      </w:r>
    </w:p>
    <w:p>
      <w:pPr>
        <w:ind w:left="4160"/>
        <w:spacing w:after="0" w:line="234" w:lineRule="auto"/>
        <w:rPr>
          <w:sz w:val="20"/>
          <w:szCs w:val="20"/>
          <w:color w:val="auto"/>
        </w:rPr>
      </w:pPr>
      <w:r>
        <w:rPr>
          <w:rFonts w:ascii="Arial" w:cs="Arial" w:eastAsia="Arial" w:hAnsi="Arial"/>
          <w:sz w:val="18"/>
          <w:szCs w:val="18"/>
          <w:color w:val="auto"/>
        </w:rPr>
        <w:t>office space, secretarial and administrative services</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provided to members of our management team;</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Reimbursement for any out-of-pocket expenses</w:t>
      </w:r>
    </w:p>
    <w:p>
      <w:pPr>
        <w:ind w:left="4160"/>
        <w:spacing w:after="0" w:line="234" w:lineRule="auto"/>
        <w:rPr>
          <w:sz w:val="20"/>
          <w:szCs w:val="20"/>
          <w:color w:val="auto"/>
        </w:rPr>
      </w:pPr>
      <w:r>
        <w:rPr>
          <w:rFonts w:ascii="Arial" w:cs="Arial" w:eastAsia="Arial" w:hAnsi="Arial"/>
          <w:sz w:val="18"/>
          <w:szCs w:val="18"/>
          <w:color w:val="auto"/>
        </w:rPr>
        <w:t>related to identifying, investigating, negotiating and</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completing an initial business combination; and</w:t>
      </w:r>
    </w:p>
    <w:p>
      <w:pPr>
        <w:spacing w:after="0" w:line="180" w:lineRule="exact"/>
        <w:rPr>
          <w:sz w:val="20"/>
          <w:szCs w:val="20"/>
          <w:color w:val="auto"/>
        </w:rPr>
      </w:pPr>
    </w:p>
    <w:p>
      <w:pPr>
        <w:ind w:left="3940"/>
        <w:spacing w:after="0"/>
        <w:tabs>
          <w:tab w:leader="none" w:pos="41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Repayment of loans which may be made by our</w:t>
      </w:r>
    </w:p>
    <w:p>
      <w:pPr>
        <w:ind w:left="4160"/>
        <w:spacing w:after="0" w:line="234" w:lineRule="auto"/>
        <w:rPr>
          <w:sz w:val="20"/>
          <w:szCs w:val="20"/>
          <w:color w:val="auto"/>
        </w:rPr>
      </w:pPr>
      <w:r>
        <w:rPr>
          <w:rFonts w:ascii="Arial" w:cs="Arial" w:eastAsia="Arial" w:hAnsi="Arial"/>
          <w:sz w:val="18"/>
          <w:szCs w:val="18"/>
          <w:color w:val="auto"/>
        </w:rPr>
        <w:t>sponsor or an affiliate of our sponsor or certain of our</w:t>
      </w:r>
    </w:p>
    <w:p>
      <w:pPr>
        <w:ind w:left="4160"/>
        <w:spacing w:after="0" w:line="235" w:lineRule="auto"/>
        <w:rPr>
          <w:sz w:val="20"/>
          <w:szCs w:val="20"/>
          <w:color w:val="auto"/>
        </w:rPr>
      </w:pPr>
      <w:r>
        <w:rPr>
          <w:rFonts w:ascii="Arial" w:cs="Arial" w:eastAsia="Arial" w:hAnsi="Arial"/>
          <w:sz w:val="18"/>
          <w:szCs w:val="18"/>
          <w:color w:val="auto"/>
        </w:rPr>
        <w:t>officers and directors to finance transaction costs in</w:t>
      </w:r>
    </w:p>
    <w:p>
      <w:pPr>
        <w:ind w:left="4160"/>
        <w:spacing w:after="0" w:line="235" w:lineRule="auto"/>
        <w:rPr>
          <w:sz w:val="20"/>
          <w:szCs w:val="20"/>
          <w:color w:val="auto"/>
        </w:rPr>
      </w:pPr>
      <w:r>
        <w:rPr>
          <w:rFonts w:ascii="Arial" w:cs="Arial" w:eastAsia="Arial" w:hAnsi="Arial"/>
          <w:sz w:val="18"/>
          <w:szCs w:val="18"/>
          <w:color w:val="auto"/>
        </w:rPr>
        <w:t>connection with an intended initial business</w:t>
      </w:r>
    </w:p>
    <w:p>
      <w:pPr>
        <w:ind w:left="4160"/>
        <w:spacing w:after="0" w:line="235" w:lineRule="auto"/>
        <w:rPr>
          <w:sz w:val="20"/>
          <w:szCs w:val="20"/>
          <w:color w:val="auto"/>
        </w:rPr>
      </w:pPr>
      <w:r>
        <w:rPr>
          <w:rFonts w:ascii="Arial" w:cs="Arial" w:eastAsia="Arial" w:hAnsi="Arial"/>
          <w:sz w:val="18"/>
          <w:szCs w:val="18"/>
          <w:color w:val="auto"/>
        </w:rPr>
        <w:t>combination. Up to $1,500,000 of such loans may be</w:t>
      </w:r>
    </w:p>
    <w:p>
      <w:pPr>
        <w:ind w:left="4160"/>
        <w:spacing w:after="0" w:line="235" w:lineRule="auto"/>
        <w:rPr>
          <w:sz w:val="20"/>
          <w:szCs w:val="20"/>
          <w:color w:val="auto"/>
        </w:rPr>
      </w:pPr>
      <w:r>
        <w:rPr>
          <w:rFonts w:ascii="Arial" w:cs="Arial" w:eastAsia="Arial" w:hAnsi="Arial"/>
          <w:sz w:val="18"/>
          <w:szCs w:val="18"/>
          <w:color w:val="auto"/>
        </w:rPr>
        <w:t>convertible into warrants of the post-business</w:t>
      </w:r>
    </w:p>
    <w:p>
      <w:pPr>
        <w:ind w:left="4160"/>
        <w:spacing w:after="0" w:line="234" w:lineRule="auto"/>
        <w:rPr>
          <w:sz w:val="20"/>
          <w:szCs w:val="20"/>
          <w:color w:val="auto"/>
        </w:rPr>
      </w:pPr>
      <w:r>
        <w:rPr>
          <w:rFonts w:ascii="Arial" w:cs="Arial" w:eastAsia="Arial" w:hAnsi="Arial"/>
          <w:sz w:val="18"/>
          <w:szCs w:val="18"/>
          <w:color w:val="auto"/>
        </w:rPr>
        <w:t>combination entity at a price of $1.50 per warrant at</w:t>
      </w:r>
    </w:p>
    <w:p>
      <w:pPr>
        <w:ind w:left="4160"/>
        <w:spacing w:after="0" w:line="235" w:lineRule="auto"/>
        <w:rPr>
          <w:sz w:val="20"/>
          <w:szCs w:val="20"/>
          <w:color w:val="auto"/>
        </w:rPr>
      </w:pPr>
      <w:r>
        <w:rPr>
          <w:rFonts w:ascii="Arial" w:cs="Arial" w:eastAsia="Arial" w:hAnsi="Arial"/>
          <w:sz w:val="18"/>
          <w:szCs w:val="18"/>
          <w:color w:val="auto"/>
        </w:rPr>
        <w:t>the option of the lender. The warrants would be</w:t>
      </w:r>
    </w:p>
    <w:p>
      <w:pPr>
        <w:ind w:left="4160"/>
        <w:spacing w:after="0" w:line="235" w:lineRule="auto"/>
        <w:rPr>
          <w:sz w:val="20"/>
          <w:szCs w:val="20"/>
          <w:color w:val="auto"/>
        </w:rPr>
      </w:pPr>
      <w:r>
        <w:rPr>
          <w:rFonts w:ascii="Arial" w:cs="Arial" w:eastAsia="Arial" w:hAnsi="Arial"/>
          <w:sz w:val="18"/>
          <w:szCs w:val="18"/>
          <w:color w:val="auto"/>
        </w:rPr>
        <w:t>identical to the private placement warrants. Except for</w:t>
      </w:r>
    </w:p>
    <w:p>
      <w:pPr>
        <w:ind w:left="4160"/>
        <w:spacing w:after="0" w:line="235" w:lineRule="auto"/>
        <w:rPr>
          <w:sz w:val="20"/>
          <w:szCs w:val="20"/>
          <w:color w:val="auto"/>
        </w:rPr>
      </w:pPr>
      <w:r>
        <w:rPr>
          <w:rFonts w:ascii="Arial" w:cs="Arial" w:eastAsia="Arial" w:hAnsi="Arial"/>
          <w:sz w:val="18"/>
          <w:szCs w:val="18"/>
          <w:color w:val="auto"/>
        </w:rPr>
        <w:t>the foregoing, the terms of such loans, if any, have</w:t>
      </w:r>
    </w:p>
    <w:p>
      <w:pPr>
        <w:ind w:left="4160"/>
        <w:spacing w:after="0" w:line="235" w:lineRule="auto"/>
        <w:rPr>
          <w:sz w:val="20"/>
          <w:szCs w:val="20"/>
          <w:color w:val="auto"/>
        </w:rPr>
      </w:pPr>
      <w:r>
        <w:rPr>
          <w:rFonts w:ascii="Arial" w:cs="Arial" w:eastAsia="Arial" w:hAnsi="Arial"/>
          <w:sz w:val="18"/>
          <w:szCs w:val="18"/>
          <w:color w:val="auto"/>
        </w:rPr>
        <w:t>not been determined and no written agreements exist</w:t>
      </w:r>
    </w:p>
    <w:p>
      <w:pPr>
        <w:ind w:left="4160"/>
        <w:spacing w:after="0"/>
        <w:rPr>
          <w:sz w:val="20"/>
          <w:szCs w:val="20"/>
          <w:color w:val="auto"/>
        </w:rPr>
      </w:pPr>
      <w:r>
        <w:rPr>
          <w:rFonts w:ascii="Arial" w:cs="Arial" w:eastAsia="Arial" w:hAnsi="Arial"/>
          <w:sz w:val="18"/>
          <w:szCs w:val="18"/>
          <w:color w:val="auto"/>
        </w:rPr>
        <w:t>with respect to such loans.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540"/>
        <w:spacing w:after="0"/>
        <w:rPr>
          <w:sz w:val="20"/>
          <w:szCs w:val="20"/>
          <w:color w:val="auto"/>
        </w:rPr>
      </w:pPr>
      <w:r>
        <w:rPr>
          <w:rFonts w:ascii="Arial" w:cs="Arial" w:eastAsia="Arial" w:hAnsi="Arial"/>
          <w:sz w:val="18"/>
          <w:szCs w:val="18"/>
          <w:color w:val="auto"/>
        </w:rPr>
        <w:t>Audit Committee</w:t>
      </w:r>
    </w:p>
    <w:p>
      <w:pPr>
        <w:spacing w:after="0" w:line="20" w:lineRule="exact"/>
        <w:rPr>
          <w:sz w:val="20"/>
          <w:szCs w:val="20"/>
          <w:color w:val="auto"/>
        </w:rPr>
      </w:pPr>
      <w:r>
        <w:rPr>
          <w:sz w:val="20"/>
          <w:szCs w:val="20"/>
          <w:color w:val="auto"/>
        </w:rPr>
        <w:br w:type="column"/>
      </w:r>
    </w:p>
    <w:p>
      <w:pPr>
        <w:ind w:right="619"/>
        <w:spacing w:after="0" w:line="251" w:lineRule="auto"/>
        <w:rPr>
          <w:sz w:val="20"/>
          <w:szCs w:val="20"/>
          <w:color w:val="auto"/>
        </w:rPr>
      </w:pPr>
      <w:r>
        <w:rPr>
          <w:rFonts w:ascii="Arial" w:cs="Arial" w:eastAsia="Arial" w:hAnsi="Arial"/>
          <w:sz w:val="17"/>
          <w:szCs w:val="17"/>
          <w:color w:val="auto"/>
        </w:rPr>
        <w:t>We will establish and maintain an audit committee. Among its responsibilities, the audit committee will review on a quarterly basis all payments that were made to our sponsor, officers or directors, or our or their respective affiliates and monitor compliance with the other terms relating to this offering. If any noncompliance is identified, then the audit committee will be charged with the responsibility to promptly take all action necessary to rectify such noncompliance or otherwise to cause compliance with the terms of this offering. For more information, see the section entitled “Management — Committees of the Board of Directors —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-1666875</wp:posOffset>
            </wp:positionV>
            <wp:extent cx="5147310" cy="37052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7310" cy="3705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720"/>
            <w:col w:w="5299"/>
          </w:cols>
          <w:pgMar w:left="1440" w:top="517" w:right="1440"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w:t>
      </w:r>
    </w:p>
    <w:p>
      <w:pPr>
        <w:spacing w:after="0" w:line="166" w:lineRule="exact"/>
        <w:rPr>
          <w:sz w:val="20"/>
          <w:szCs w:val="20"/>
          <w:color w:val="auto"/>
        </w:rPr>
      </w:pPr>
    </w:p>
    <w:p>
      <w:pPr>
        <w:ind w:left="540" w:right="659"/>
        <w:spacing w:after="0" w:line="236" w:lineRule="auto"/>
        <w:rPr>
          <w:sz w:val="20"/>
          <w:szCs w:val="20"/>
          <w:color w:val="auto"/>
        </w:rPr>
      </w:pPr>
      <w:r>
        <w:rPr>
          <w:rFonts w:ascii="Arial" w:cs="Arial" w:eastAsia="Arial" w:hAnsi="Arial"/>
          <w:sz w:val="18"/>
          <w:szCs w:val="18"/>
          <w:color w:val="auto"/>
        </w:rPr>
        <w:t>We are a blank check company that has conducted no operations and has generated no revenues to date.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 Rule 419.” You should carefully consider these and the other risks set forth in the section entitled “Risk Factors” in this prospectus.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316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7310" cy="2316480"/>
                    </a:xfrm>
                    <a:prstGeom prst="rect">
                      <a:avLst/>
                    </a:prstGeom>
                    <a:noFill/>
                  </pic:spPr>
                </pic:pic>
              </a:graphicData>
            </a:graphic>
          </wp:anchor>
        </w:drawing>
        <w:t>SUMMARY FINANCIAL DATA</w:t>
      </w:r>
    </w:p>
    <w:p>
      <w:pPr>
        <w:spacing w:after="0" w:line="153" w:lineRule="exact"/>
        <w:rPr>
          <w:sz w:val="20"/>
          <w:szCs w:val="20"/>
          <w:color w:val="auto"/>
        </w:rPr>
      </w:pPr>
    </w:p>
    <w:p>
      <w:pPr>
        <w:ind w:left="540" w:right="559"/>
        <w:spacing w:after="0"/>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June 30, 2020</w:t>
            </w:r>
          </w:p>
        </w:tc>
      </w:tr>
      <w:tr>
        <w:trPr>
          <w:trHeight w:val="26"/>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3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7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06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(29,500)</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22"/>
                <w:szCs w:val="22"/>
                <w:color w:val="auto"/>
              </w:rPr>
            </w:pPr>
          </w:p>
        </w:tc>
      </w:tr>
      <w:tr>
        <w:trPr>
          <w:trHeight w:val="257"/>
        </w:trPr>
        <w:tc>
          <w:tcPr>
            <w:tcW w:w="312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54,500</w:t>
            </w:r>
          </w:p>
        </w:tc>
        <w:tc>
          <w:tcPr>
            <w:tcW w:w="100" w:type="dxa"/>
            <w:vAlign w:val="bottom"/>
          </w:tcPr>
          <w:p>
            <w:pPr>
              <w:spacing w:after="0"/>
              <w:rPr>
                <w:sz w:val="22"/>
                <w:szCs w:val="22"/>
                <w:color w:val="auto"/>
              </w:rPr>
            </w:pPr>
          </w:p>
        </w:tc>
      </w:tr>
      <w:tr>
        <w:trPr>
          <w:trHeight w:val="27"/>
        </w:trPr>
        <w:tc>
          <w:tcPr>
            <w:tcW w:w="3120" w:type="dxa"/>
            <w:vAlign w:val="bottom"/>
            <w:gridSpan w:val="2"/>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63"/>
        </w:trPr>
        <w:tc>
          <w:tcPr>
            <w:tcW w:w="80" w:type="dxa"/>
            <w:vAlign w:val="bottom"/>
          </w:tcPr>
          <w:p>
            <w:pPr>
              <w:spacing w:after="0"/>
              <w:rPr>
                <w:sz w:val="22"/>
                <w:szCs w:val="22"/>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2"/>
                <w:szCs w:val="22"/>
                <w:color w:val="auto"/>
              </w:rPr>
            </w:pPr>
          </w:p>
        </w:tc>
      </w:tr>
      <w:tr>
        <w:trPr>
          <w:trHeight w:val="361"/>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75"/>
        </w:trPr>
        <w:tc>
          <w:tcPr>
            <w:tcW w:w="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jc w:val="right"/>
              <w:ind w:right="26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35" w:right="1440"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460" w:right="499"/>
        <w:spacing w:after="0" w:line="242"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1" w:lineRule="exact"/>
        <w:rPr>
          <w:sz w:val="20"/>
          <w:szCs w:val="20"/>
          <w:color w:val="auto"/>
        </w:rPr>
      </w:pPr>
    </w:p>
    <w:p>
      <w:pPr>
        <w:ind w:left="460" w:right="719"/>
        <w:spacing w:after="0" w:line="271"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95"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We are a blank check company incorporated under the laws of the State of Delaware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81" w:lineRule="exact"/>
        <w:rPr>
          <w:sz w:val="20"/>
          <w:szCs w:val="20"/>
          <w:color w:val="auto"/>
        </w:rPr>
      </w:pPr>
    </w:p>
    <w:p>
      <w:pPr>
        <w:jc w:val="both"/>
        <w:ind w:left="460" w:right="519"/>
        <w:spacing w:after="0" w:line="247" w:lineRule="auto"/>
        <w:rPr>
          <w:sz w:val="20"/>
          <w:szCs w:val="20"/>
          <w:color w:val="auto"/>
        </w:rPr>
      </w:pPr>
      <w:r>
        <w:rPr>
          <w:rFonts w:ascii="Arial" w:cs="Arial" w:eastAsia="Arial" w:hAnsi="Arial"/>
          <w:sz w:val="18"/>
          <w:szCs w:val="18"/>
          <w:b w:val="1"/>
          <w:bCs w:val="1"/>
          <w:color w:val="auto"/>
        </w:rPr>
        <w:t>Our stockholders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stockholders do not support such a combination.</w:t>
      </w:r>
    </w:p>
    <w:p>
      <w:pPr>
        <w:spacing w:after="0" w:line="12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may choose not to hold a stockholder vote to approve our initial business combination if the business combination would not require stockholder approval under applicable law or stock exchange listing requirement. Except for as required by applicable law or stock exchange requirement, the decision as to whether we will seek stockholder approval of a proposed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a majority of our public stockholders do not approve of the business combination we complete. Please see the section entitled “Proposed Business — Stockholders May Not Have the Ability to Approve Our Initial Business Combination” for additional information.</w:t>
      </w:r>
    </w:p>
    <w:p>
      <w:pPr>
        <w:spacing w:after="0" w:line="182" w:lineRule="exact"/>
        <w:rPr>
          <w:sz w:val="20"/>
          <w:szCs w:val="20"/>
          <w:color w:val="auto"/>
        </w:rPr>
      </w:pPr>
    </w:p>
    <w:p>
      <w:pPr>
        <w:ind w:left="460" w:right="799"/>
        <w:spacing w:after="0" w:line="253" w:lineRule="auto"/>
        <w:rPr>
          <w:sz w:val="20"/>
          <w:szCs w:val="20"/>
          <w:color w:val="auto"/>
        </w:rPr>
      </w:pPr>
      <w:r>
        <w:rPr>
          <w:rFonts w:ascii="Arial" w:cs="Arial" w:eastAsia="Arial" w:hAnsi="Arial"/>
          <w:sz w:val="18"/>
          <w:szCs w:val="18"/>
          <w:b w:val="1"/>
          <w:bCs w:val="1"/>
          <w:color w:val="auto"/>
        </w:rPr>
        <w:t>Your only opportunity to affect the investment decision regarding a potential business combination may be limited to the exercise of your right to redeem your shares from us for cash.</w:t>
      </w:r>
    </w:p>
    <w:p>
      <w:pPr>
        <w:spacing w:after="0" w:line="12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 business combination without seeking stockholder approval, public stockholders may not have the right or opportunity to vote on the business combination, unless we seek such stockholder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186"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If we seek stockholder approval of our initial business combination, our initial stockholders and management team have agreed to vote in favor of such initial business combination, regardless of how our public stockholders vote.</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initial stockholders will own 20% of our outstanding common stock immediately following the completion of this offering. Our initial stockholders and management team also may from time to time purchase Class A common stock prior to the completion of our initial business combination. Our amended and restated certificate of incorporation provides that, if we seek stockholder approval of an initial business combination, such initial business combination will be approved if we receive the affirmative vote of a majority of the shares voted at such meeting, including the founder shares. As a result, in addition to our initial stockholders’ founder shares, we would need 3,750,001, or 37.5%, of the 10,000,000 public shares sold in this offering to be voted in favor of an initial business combination in order to have our initial business combination approved (assuming all outstanding shares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33" w:name="page34"/>
    <w:bookmarkEnd w:id="33"/>
    <w:p>
      <w:pPr>
        <w:ind w:left="460" w:right="599"/>
        <w:spacing w:after="0" w:line="238" w:lineRule="auto"/>
        <w:rPr>
          <w:sz w:val="20"/>
          <w:szCs w:val="20"/>
          <w:color w:val="auto"/>
        </w:rPr>
      </w:pPr>
      <w:r>
        <w:rPr>
          <w:rFonts w:ascii="Arial" w:cs="Arial" w:eastAsia="Arial" w:hAnsi="Arial"/>
          <w:sz w:val="18"/>
          <w:szCs w:val="18"/>
          <w:color w:val="auto"/>
        </w:rPr>
        <w:t>are voted and the over-allotment option is not exercised). Accordingly, if we seek stockholder approval of our initial business combination, the agreement by our initial stockholders and management team to vote in favor of our initial business combination will increase the likelihood that we will receive the requisite stockholder approval for such initial business combination.</w:t>
      </w:r>
    </w:p>
    <w:p>
      <w:pPr>
        <w:spacing w:after="0" w:line="183" w:lineRule="exact"/>
        <w:rPr>
          <w:sz w:val="20"/>
          <w:szCs w:val="20"/>
          <w:color w:val="auto"/>
        </w:rPr>
      </w:pPr>
    </w:p>
    <w:p>
      <w:pPr>
        <w:jc w:val="both"/>
        <w:ind w:left="460" w:right="599"/>
        <w:spacing w:after="0" w:line="253" w:lineRule="auto"/>
        <w:rPr>
          <w:sz w:val="20"/>
          <w:szCs w:val="20"/>
          <w:color w:val="auto"/>
        </w:rPr>
      </w:pPr>
      <w:r>
        <w:rPr>
          <w:rFonts w:ascii="Arial" w:cs="Arial" w:eastAsia="Arial" w:hAnsi="Arial"/>
          <w:sz w:val="18"/>
          <w:szCs w:val="18"/>
          <w:b w:val="1"/>
          <w:bCs w:val="1"/>
          <w:color w:val="auto"/>
        </w:rPr>
        <w:t>The ability of our public stockholders to redeem their shares for cash may make our financial condition unattractive to potential business combination targets, which may make it difficult for us to enter into a business combination with a target.</w:t>
      </w:r>
    </w:p>
    <w:p>
      <w:pPr>
        <w:spacing w:after="0" w:line="11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may seek to enter into a business combination transaction agreement with minimum cash requirement for (i) cash consideration to be paid to the target or its owners, (ii) cash for working capital or other general corporate purposes or (iii) the retention of cash to satisfy other conditions. If too many public stockholders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$ 5,000,001 or make us unable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82"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2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At the time we enter into an agreement for our initial business combination, we will not know how many stockholders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 party financing may involve dilutive equity issuances or the incurrence of indebtedness at higher than desirable levels. Furthermore, this dilution would increase to the extent that the anti-dilution provision of the Class B common stock results in the issues of shares of Class A common stock on a greater than one-to-one basis upon conversion of the shares of Class B common stock at the time of our initial business combination. In addition, the amount of the deferred underwriting commissions payable to the underwriters will not be adjusted for any shares that are redeemed in connection with an initial business combination. The per share amount we will distribute to stockholders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191"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4" w:name="page35"/>
    <w:bookmarkEnd w:id="34"/>
    <w:p>
      <w:pPr>
        <w:ind w:left="460" w:right="499"/>
        <w:spacing w:after="0" w:line="242" w:lineRule="auto"/>
        <w:rPr>
          <w:sz w:val="20"/>
          <w:szCs w:val="20"/>
          <w:color w:val="auto"/>
        </w:rPr>
      </w:pPr>
      <w:r>
        <w:rPr>
          <w:rFonts w:ascii="Arial" w:cs="Arial" w:eastAsia="Arial" w:hAnsi="Arial"/>
          <w:sz w:val="18"/>
          <w:szCs w:val="18"/>
          <w:b w:val="1"/>
          <w:bCs w:val="1"/>
          <w:color w:val="auto"/>
        </w:rPr>
        <w:t>The requirement that we complete our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33"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within 24 months from the closing of this offering.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85" w:lineRule="exact"/>
        <w:rPr>
          <w:sz w:val="20"/>
          <w:szCs w:val="20"/>
          <w:color w:val="auto"/>
        </w:rPr>
      </w:pPr>
    </w:p>
    <w:p>
      <w:pPr>
        <w:jc w:val="both"/>
        <w:ind w:left="460" w:right="919"/>
        <w:spacing w:after="0" w:line="253"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continues to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145" w:lineRule="exact"/>
        <w:rPr>
          <w:sz w:val="20"/>
          <w:szCs w:val="20"/>
          <w:color w:val="auto"/>
        </w:rPr>
      </w:pPr>
    </w:p>
    <w:p>
      <w:pPr>
        <w:jc w:val="both"/>
        <w:ind w:left="460" w:right="739"/>
        <w:spacing w:after="0" w:line="238"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be able to complete our initial business combination within 24 months after the closing of this offering, in which case we would cease all operations except for the purpose of winding up and we would redeem our public shares and liquidate.</w:t>
      </w:r>
    </w:p>
    <w:p>
      <w:pPr>
        <w:spacing w:after="0" w:line="12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may not be able to find a suitable target business and complete our initial business combination within 24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w:t>
      </w:r>
    </w:p>
    <w:p>
      <w:pPr>
        <w:sectPr>
          <w:pgSz w:w="11900" w:h="16838" w:orient="portrait"/>
          <w:cols w:equalWidth="0" w:num="1">
            <w:col w:w="9019"/>
          </w:cols>
          <w:pgMar w:left="1440" w:top="33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5" w:name="page36"/>
    <w:bookmarkEnd w:id="35"/>
    <w:p>
      <w:pPr>
        <w:ind w:left="460" w:right="499"/>
        <w:spacing w:after="0" w:line="236" w:lineRule="auto"/>
        <w:rPr>
          <w:sz w:val="20"/>
          <w:szCs w:val="20"/>
          <w:color w:val="auto"/>
        </w:rPr>
      </w:pPr>
      <w:r>
        <w:rPr>
          <w:rFonts w:ascii="Arial" w:cs="Arial" w:eastAsia="Arial" w:hAnsi="Arial"/>
          <w:sz w:val="18"/>
          <w:szCs w:val="18"/>
          <w:color w:val="auto"/>
        </w:rPr>
        <w:t>interest earned on the funds held in the trust account and not previously released to us to pay our taxes (less up to $ 100,000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w:t>
      </w:r>
    </w:p>
    <w:p>
      <w:pPr>
        <w:spacing w:after="0" w:line="186" w:lineRule="exact"/>
        <w:rPr>
          <w:sz w:val="20"/>
          <w:szCs w:val="20"/>
          <w:color w:val="auto"/>
        </w:rPr>
      </w:pPr>
    </w:p>
    <w:p>
      <w:pPr>
        <w:ind w:left="460" w:right="579"/>
        <w:spacing w:after="0" w:line="244" w:lineRule="auto"/>
        <w:rPr>
          <w:sz w:val="20"/>
          <w:szCs w:val="20"/>
          <w:color w:val="auto"/>
        </w:rPr>
      </w:pPr>
      <w:r>
        <w:rPr>
          <w:rFonts w:ascii="Arial" w:cs="Arial" w:eastAsia="Arial" w:hAnsi="Arial"/>
          <w:sz w:val="18"/>
          <w:szCs w:val="18"/>
          <w:b w:val="1"/>
          <w:bCs w:val="1"/>
          <w:color w:val="auto"/>
        </w:rPr>
        <w:t>If we seek stockholder approval of our initial business combination, our sponsor, initial stockholders, directors, executive officers, advisors and their affiliates may elect to purchase shares or public warrants from public stockholders, which may influence a vote on a proposed business combination and reduce the public “float” of our Class A common stock or public warrants.</w:t>
      </w:r>
    </w:p>
    <w:p>
      <w:pPr>
        <w:spacing w:after="0" w:line="117"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although they are under no obligation to do so. There is no limit on the number of shares our initial stockholders, directors, officers, advisors or their respective affiliates may purchase in such transactions, subject to compliance with applicable law and Nasdaq rules. However, other than as expressly stated herein, they have no current commitments, plans or intentions to engage in such purchases or transactions and have not formulated any terms or conditions for any such purchases or transactions. None of the funds in the trust account will be used to purchase public shares or public warrants in such transactions. Such purchases may include a contractual acknowledgment that such stockholder, although still the record holder of our shares, is no longer the beneficial owner thereof and therefore agrees not to exercise its redemption rights.</w:t>
      </w:r>
    </w:p>
    <w:p>
      <w:pPr>
        <w:spacing w:after="0" w:line="146"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In the event that our sponsor, initial stockholders, directors, executive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The purpose of any such purchases of shares could be to vote such shares in favor of the business combination and thereby increase the likelihood of obtaining the requisite stockholder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We expect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stockholders to purchase securities from in any private transaction.</w:t>
      </w:r>
    </w:p>
    <w:p>
      <w:pPr>
        <w:spacing w:after="0" w:line="146"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and the number of beneficial holders of our securities may be reduced, possibly making it difficult to obtain or maintain the quotation, listing or trading of our securities on a national securities exchange.</w:t>
      </w:r>
    </w:p>
    <w:p>
      <w:pPr>
        <w:spacing w:after="0" w:line="183" w:lineRule="exact"/>
        <w:rPr>
          <w:sz w:val="20"/>
          <w:szCs w:val="20"/>
          <w:color w:val="auto"/>
        </w:rPr>
      </w:pPr>
    </w:p>
    <w:p>
      <w:pPr>
        <w:jc w:val="both"/>
        <w:ind w:left="460" w:right="619"/>
        <w:spacing w:after="0" w:line="253" w:lineRule="auto"/>
        <w:rPr>
          <w:sz w:val="20"/>
          <w:szCs w:val="20"/>
          <w:color w:val="auto"/>
        </w:rPr>
      </w:pPr>
      <w:r>
        <w:rPr>
          <w:rFonts w:ascii="Arial" w:cs="Arial" w:eastAsia="Arial" w:hAnsi="Arial"/>
          <w:sz w:val="18"/>
          <w:szCs w:val="18"/>
          <w:b w:val="1"/>
          <w:b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10"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will comply with the proxy rules or tender offer rules, as applicable, when conducting redemptions in connection with our initial business combination. Despite our compliance with these rules, if a stockholder fails to receive our proxy materials or tender offer documents,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submit public shares for redemption. For example, we intend to require our public stockholders seeking to exercise their redemption rights, whether they are record holders or</w:t>
      </w:r>
    </w:p>
    <w:p>
      <w:pPr>
        <w:sectPr>
          <w:pgSz w:w="11900" w:h="16838" w:orient="portrait"/>
          <w:cols w:equalWidth="0" w:num="1">
            <w:col w:w="9019"/>
          </w:cols>
          <w:pgMar w:left="1440" w:top="287" w:right="1440"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36" w:name="page37"/>
    <w:bookmarkEnd w:id="36"/>
    <w:p>
      <w:pPr>
        <w:ind w:left="460" w:right="479"/>
        <w:spacing w:after="0" w:line="251" w:lineRule="auto"/>
        <w:rPr>
          <w:sz w:val="20"/>
          <w:szCs w:val="20"/>
          <w:color w:val="auto"/>
        </w:rPr>
      </w:pPr>
      <w:r>
        <w:rPr>
          <w:rFonts w:ascii="Arial" w:cs="Arial" w:eastAsia="Arial" w:hAnsi="Arial"/>
          <w:sz w:val="17"/>
          <w:szCs w:val="17"/>
          <w:color w:val="auto"/>
        </w:rPr>
        <w:t>hold their shares in “street name,” to, at the holder’s option, either deliver their stock certificates to our transfer agent, or to deliver their shares to our transfer agent electronically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In the event that a stockholder fails to comply with these or any other procedures disclosed in the proxy or tender offer materials, as applicable, its shares may not be redeemed. See the section of this prospectus entitled “Proposed Business — Submitting Stock Certificates in Connection with Redemption Rights.”</w:t>
      </w:r>
    </w:p>
    <w:p>
      <w:pPr>
        <w:spacing w:after="0" w:line="173" w:lineRule="exact"/>
        <w:rPr>
          <w:sz w:val="20"/>
          <w:szCs w:val="20"/>
          <w:color w:val="auto"/>
        </w:rPr>
      </w:pPr>
    </w:p>
    <w:p>
      <w:pPr>
        <w:jc w:val="both"/>
        <w:ind w:left="460" w:right="539"/>
        <w:spacing w:after="0" w:line="253"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1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upon the earlier to occur of: (i) our completion of an initial business combination, and then only in connection with those shares of Class A common stock that such stockholder properly elected to redeem, subject to the limitations described herein, (ii) the redemption of any public shares properly tendered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addition, if our plan to redeem our public shares if we are unable to complete an initial business combination within 24 months from the closing of this offering is not completed for any reason, compliance with Delaware law may require that we submit a plan of dissolution to our then-existing stockholders for approval prior to the distribution of the proceeds held in our trust account. In that case, public stockholders may be forced to wait beyond 24 months from the closing of this offering before they receive funds from our trust account.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91" w:lineRule="exact"/>
        <w:rPr>
          <w:sz w:val="20"/>
          <w:szCs w:val="20"/>
          <w:color w:val="auto"/>
        </w:rPr>
      </w:pPr>
    </w:p>
    <w:p>
      <w:pPr>
        <w:ind w:left="460" w:right="579"/>
        <w:spacing w:after="0" w:line="301" w:lineRule="auto"/>
        <w:rPr>
          <w:sz w:val="20"/>
          <w:szCs w:val="20"/>
          <w:color w:val="auto"/>
        </w:rPr>
      </w:pPr>
      <w:r>
        <w:rPr>
          <w:rFonts w:ascii="Arial" w:cs="Arial" w:eastAsia="Arial" w:hAnsi="Arial"/>
          <w:sz w:val="17"/>
          <w:szCs w:val="17"/>
          <w:b w:val="1"/>
          <w:bCs w:val="1"/>
          <w:color w:val="auto"/>
        </w:rPr>
        <w:t>Nasdaq may delist our securities from trading on its exchange, which could limit investors’ ability to make transactions in our securities and subject us to additional trading restrictions.</w:t>
      </w:r>
    </w:p>
    <w:p>
      <w:pPr>
        <w:spacing w:after="0" w:line="85"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We have applied to have our units listed on Nasdaq on or promptly after the date of this prospectus and our Class A common stock and warrants on or promptly after their date of separation. Although after giving effect to this offering we expect to meet, on a pro forma basis, the minimum initial listing standards set forth in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share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share price would generally be required to be at least $4.00 per share and our stockholder’s equity would generally be required to be at least $5,000,000. We cannot assure you that we will be able to meet those initial listing requirements at that time.</w:t>
      </w:r>
    </w:p>
    <w:p>
      <w:pPr>
        <w:spacing w:after="0" w:line="133"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6" w:lineRule="exact"/>
        <w:rPr>
          <w:sz w:val="20"/>
          <w:szCs w:val="20"/>
          <w:color w:val="auto"/>
        </w:rPr>
      </w:pPr>
    </w:p>
    <w:p>
      <w:pPr>
        <w:ind w:left="1040" w:hanging="26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37" w:name="page38"/>
    <w:bookmarkEnd w:id="37"/>
    <w:p>
      <w:pPr>
        <w:ind w:left="1100" w:right="459" w:hanging="322"/>
        <w:spacing w:after="0"/>
        <w:tabs>
          <w:tab w:leader="none" w:pos="103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3" w:lineRule="exact"/>
        <w:rPr>
          <w:rFonts w:ascii="Arial" w:cs="Arial" w:eastAsia="Arial" w:hAnsi="Arial"/>
          <w:sz w:val="18"/>
          <w:szCs w:val="18"/>
          <w:color w:val="auto"/>
        </w:rPr>
      </w:pPr>
    </w:p>
    <w:p>
      <w:pPr>
        <w:ind w:left="1040" w:hanging="26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common stock and warrants will be listed on Nasdaq, our units, Class A common stock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qualify as covered securities under the statute and we would be subject to regulation in each state in which we offer our securities.</w:t>
      </w:r>
    </w:p>
    <w:p>
      <w:pPr>
        <w:spacing w:after="0" w:line="192" w:lineRule="exact"/>
        <w:rPr>
          <w:sz w:val="20"/>
          <w:szCs w:val="20"/>
          <w:color w:val="auto"/>
        </w:rPr>
      </w:pPr>
    </w:p>
    <w:p>
      <w:pPr>
        <w:ind w:left="460" w:right="979"/>
        <w:spacing w:after="0" w:line="271"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95"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w:t>
      </w:r>
    </w:p>
    <w:p>
      <w:pPr>
        <w:spacing w:after="0" w:line="5"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jc w:val="both"/>
        <w:ind w:left="460" w:right="799"/>
        <w:spacing w:after="0" w:line="247" w:lineRule="auto"/>
        <w:rPr>
          <w:sz w:val="20"/>
          <w:szCs w:val="20"/>
          <w:color w:val="auto"/>
        </w:rPr>
      </w:pPr>
      <w:r>
        <w:rPr>
          <w:rFonts w:ascii="Arial" w:cs="Arial" w:eastAsia="Arial" w:hAnsi="Arial"/>
          <w:sz w:val="18"/>
          <w:szCs w:val="18"/>
          <w:b w:val="1"/>
          <w:bCs w:val="1"/>
          <w:color w:val="auto"/>
        </w:rPr>
        <w:t>If we seek stockholder approval of our initial business combination and we do not conduct redemptions pursuant to the tender offer rules, and if you or a “group” of stockholders are deemed to hold in excess of 20% of our Class A common stock, you will lose the ability to redeem all such shares in excess of 20% of our Class A common stock.</w:t>
      </w:r>
    </w:p>
    <w:p>
      <w:pPr>
        <w:spacing w:after="0" w:line="12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20%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20% and, in order to dispose of such shares, would be required to sell your shares in open market transactions, potentially at a loss.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38" w:name="page39"/>
    <w:bookmarkEnd w:id="38"/>
    <w:p>
      <w:pPr>
        <w:ind w:left="460" w:right="579"/>
        <w:spacing w:after="0" w:line="242"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93"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stockholder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within the required time period, our public stockholders may receive only their pro rata portion of the funds in the trust account that are available for distribution to public stockholders, and our warrants will expire worthless.</w:t>
      </w:r>
    </w:p>
    <w:p>
      <w:pPr>
        <w:spacing w:after="0" w:line="172"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If the net proceeds of this offering not being held in the trust account are insufficient to allow us to operate for at least the 24 months following the closing of the offering,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90"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Of the net proceeds of this offering, only $1,000,000 will be available to us initially outside the trust account to fund our working capital requirements. We believe that, upon closing of this offering, the funds available to us outside of the trust account will be sufficient to allow us to operate for at least the 24 months following such closing;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4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$1.50 per warrant at the option of the lender. The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w:t>
      </w:r>
    </w:p>
    <w:p>
      <w:pPr>
        <w:sectPr>
          <w:pgSz w:w="11900" w:h="16838" w:orient="portrait"/>
          <w:cols w:equalWidth="0" w:num="1">
            <w:col w:w="9019"/>
          </w:cols>
          <w:pgMar w:left="1440" w:top="333" w:right="1440" w:bottom="1440" w:gutter="0" w:footer="0" w:header="0"/>
        </w:sectPr>
      </w:pP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39" w:name="page40"/>
    <w:bookmarkEnd w:id="39"/>
    <w:p>
      <w:pPr>
        <w:ind w:left="460" w:right="639"/>
        <w:spacing w:after="0" w:line="238" w:lineRule="auto"/>
        <w:rPr>
          <w:sz w:val="20"/>
          <w:szCs w:val="20"/>
          <w:color w:val="auto"/>
        </w:rPr>
      </w:pPr>
      <w:r>
        <w:rPr>
          <w:rFonts w:ascii="Arial" w:cs="Arial" w:eastAsia="Arial" w:hAnsi="Arial"/>
          <w:sz w:val="18"/>
          <w:szCs w:val="18"/>
          <w:color w:val="auto"/>
        </w:rPr>
        <w:t>rights to seek access to funds in our trust account. If we are unable to complete our initial business combination within the required time period because we do not have sufficient funds available to us, we will be forced to cease operations and liquidate the trust account. Consequently, our public stockholders may only receive an estimated $10.00 per public share, or possibly less, on our redemption of our public shares, and our warrants will expire worthless.</w:t>
      </w:r>
    </w:p>
    <w:p>
      <w:pPr>
        <w:spacing w:after="0" w:line="180" w:lineRule="exact"/>
        <w:rPr>
          <w:sz w:val="20"/>
          <w:szCs w:val="20"/>
          <w:color w:val="auto"/>
        </w:rPr>
      </w:pPr>
    </w:p>
    <w:p>
      <w:pPr>
        <w:ind w:left="460" w:right="499"/>
        <w:spacing w:after="0" w:line="247"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10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or thereafter.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0" w:lineRule="exact"/>
        <w:rPr>
          <w:sz w:val="20"/>
          <w:szCs w:val="20"/>
          <w:color w:val="auto"/>
        </w:rPr>
      </w:pPr>
    </w:p>
    <w:p>
      <w:pPr>
        <w:ind w:left="460" w:right="859"/>
        <w:spacing w:after="0" w:line="253"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stockholders may be less than $10.00 per public share.</w:t>
      </w:r>
    </w:p>
    <w:p>
      <w:pPr>
        <w:spacing w:after="0" w:line="9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placing of funds in the trust account may not protect those funds from third party claims against us. Although we will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The underwriters of this offering as well as our registered independent public accounting firm will not execute agreements with us waiving such claims to the monies held in the trust account.</w:t>
      </w:r>
    </w:p>
    <w:p>
      <w:pPr>
        <w:spacing w:after="0" w:line="132"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required time period,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w:t>
      </w:r>
    </w:p>
    <w:p>
      <w:pPr>
        <w:sectPr>
          <w:pgSz w:w="11900" w:h="16838" w:orient="portrait"/>
          <w:cols w:equalWidth="0" w:num="1">
            <w:col w:w="9019"/>
          </w:cols>
          <w:pgMar w:left="1440" w:top="287" w:right="1440"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0" w:name="page41"/>
    <w:bookmarkEnd w:id="40"/>
    <w:p>
      <w:pPr>
        <w:ind w:left="460" w:right="479"/>
        <w:spacing w:after="0" w:line="235" w:lineRule="auto"/>
        <w:rPr>
          <w:sz w:val="20"/>
          <w:szCs w:val="20"/>
          <w:color w:val="auto"/>
        </w:rPr>
      </w:pPr>
      <w:r>
        <w:rPr>
          <w:rFonts w:ascii="Arial" w:cs="Arial" w:eastAsia="Arial" w:hAnsi="Arial"/>
          <w:sz w:val="18"/>
          <w:szCs w:val="18"/>
          <w:color w:val="auto"/>
        </w:rPr>
        <w:t>stockholders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90"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1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stockholders may be reduced below $10.00 per public share.</w:t>
      </w:r>
    </w:p>
    <w:p>
      <w:pPr>
        <w:spacing w:after="0" w:line="182" w:lineRule="exact"/>
        <w:rPr>
          <w:sz w:val="20"/>
          <w:szCs w:val="20"/>
          <w:color w:val="auto"/>
        </w:rPr>
      </w:pPr>
    </w:p>
    <w:p>
      <w:pPr>
        <w:ind w:left="460" w:right="1259"/>
        <w:spacing w:after="0" w:line="271" w:lineRule="auto"/>
        <w:rPr>
          <w:sz w:val="20"/>
          <w:szCs w:val="20"/>
          <w:color w:val="auto"/>
        </w:rPr>
      </w:pPr>
      <w:r>
        <w:rPr>
          <w:rFonts w:ascii="Arial" w:cs="Arial" w:eastAsia="Arial" w:hAnsi="Arial"/>
          <w:sz w:val="18"/>
          <w:szCs w:val="18"/>
          <w:b w:val="1"/>
          <w:bCs w:val="1"/>
          <w:color w:val="auto"/>
        </w:rPr>
        <w:t>We may not have sufficient funds to satisfy indemnification claims of our officers and directors.</w:t>
      </w:r>
    </w:p>
    <w:p>
      <w:pPr>
        <w:spacing w:after="0" w:line="81"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w:t>
      </w:r>
    </w:p>
    <w:p>
      <w:pPr>
        <w:spacing w:after="0" w:line="2" w:lineRule="exact"/>
        <w:rPr>
          <w:sz w:val="20"/>
          <w:szCs w:val="20"/>
          <w:color w:val="auto"/>
        </w:rPr>
      </w:pPr>
    </w:p>
    <w:p>
      <w:pPr>
        <w:ind w:left="460" w:right="539" w:hanging="6"/>
        <w:spacing w:after="0" w:line="236" w:lineRule="auto"/>
        <w:tabs>
          <w:tab w:leader="none" w:pos="67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sufficient funds outside of the trust account or (ii) 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86" w:lineRule="exact"/>
        <w:rPr>
          <w:sz w:val="20"/>
          <w:szCs w:val="20"/>
          <w:color w:val="auto"/>
        </w:rPr>
      </w:pPr>
    </w:p>
    <w:p>
      <w:pPr>
        <w:ind w:left="460" w:right="719"/>
        <w:spacing w:after="0" w:line="242" w:lineRule="auto"/>
        <w:rPr>
          <w:sz w:val="20"/>
          <w:szCs w:val="20"/>
          <w:color w:val="auto"/>
        </w:rPr>
      </w:pPr>
      <w:r>
        <w:rPr>
          <w:rFonts w:ascii="Arial" w:cs="Arial" w:eastAsia="Arial" w:hAnsi="Arial"/>
          <w:sz w:val="18"/>
          <w:szCs w:val="18"/>
          <w:b w:val="1"/>
          <w:b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06" w:lineRule="exact"/>
        <w:rPr>
          <w:sz w:val="20"/>
          <w:szCs w:val="20"/>
          <w:color w:val="auto"/>
        </w:rPr>
      </w:pPr>
    </w:p>
    <w:p>
      <w:pPr>
        <w:jc w:val="both"/>
        <w:ind w:left="460" w:right="499"/>
        <w:spacing w:after="0"/>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w:t>
      </w:r>
    </w:p>
    <w:p>
      <w:pPr>
        <w:sectPr>
          <w:pgSz w:w="11900" w:h="16838" w:orient="portrait"/>
          <w:cols w:equalWidth="0" w:num="1">
            <w:col w:w="9019"/>
          </w:cols>
          <w:pgMar w:left="1440" w:top="260" w:right="1440"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41" w:name="page42"/>
    <w:bookmarkEnd w:id="41"/>
    <w:p>
      <w:pPr>
        <w:ind w:left="460" w:right="499"/>
        <w:spacing w:after="0" w:line="237" w:lineRule="auto"/>
        <w:rPr>
          <w:sz w:val="20"/>
          <w:szCs w:val="20"/>
          <w:color w:val="auto"/>
        </w:rPr>
      </w:pPr>
      <w:r>
        <w:rPr>
          <w:rFonts w:ascii="Arial" w:cs="Arial" w:eastAsia="Arial" w:hAnsi="Arial"/>
          <w:sz w:val="18"/>
          <w:szCs w:val="18"/>
          <w:color w:val="auto"/>
        </w:rPr>
        <w:t>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by paying public stockholders from the trust account prior to addressing the claims of creditors, thereby exposing itself and us to claims of punitive damages.</w:t>
      </w:r>
    </w:p>
    <w:p>
      <w:pPr>
        <w:spacing w:after="0" w:line="183"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31"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81" w:lineRule="exact"/>
        <w:rPr>
          <w:sz w:val="20"/>
          <w:szCs w:val="20"/>
          <w:color w:val="auto"/>
        </w:rPr>
      </w:pPr>
    </w:p>
    <w:p>
      <w:pPr>
        <w:ind w:left="460" w:right="699"/>
        <w:spacing w:after="0" w:line="275" w:lineRule="auto"/>
        <w:rPr>
          <w:sz w:val="20"/>
          <w:szCs w:val="20"/>
          <w:color w:val="auto"/>
        </w:rPr>
      </w:pPr>
      <w:r>
        <w:rPr>
          <w:rFonts w:ascii="Arial" w:cs="Arial" w:eastAsia="Arial" w:hAnsi="Arial"/>
          <w:sz w:val="17"/>
          <w:szCs w:val="17"/>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06"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8" w:lineRule="exact"/>
        <w:rPr>
          <w:sz w:val="20"/>
          <w:szCs w:val="20"/>
          <w:color w:val="auto"/>
        </w:rPr>
      </w:pPr>
    </w:p>
    <w:p>
      <w:pPr>
        <w:ind w:left="1040" w:hanging="262"/>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issuance of securities,</w:t>
      </w:r>
    </w:p>
    <w:p>
      <w:pPr>
        <w:spacing w:after="0" w:line="144" w:lineRule="exact"/>
        <w:rPr>
          <w:sz w:val="20"/>
          <w:szCs w:val="20"/>
          <w:color w:val="auto"/>
        </w:rPr>
      </w:pPr>
    </w:p>
    <w:p>
      <w:pPr>
        <w:ind w:left="460" w:right="539"/>
        <w:spacing w:after="0" w:line="246" w:lineRule="auto"/>
        <w:rPr>
          <w:sz w:val="20"/>
          <w:szCs w:val="20"/>
          <w:color w:val="auto"/>
        </w:rPr>
      </w:pPr>
      <w:r>
        <w:rPr>
          <w:rFonts w:ascii="Arial" w:cs="Arial" w:eastAsia="Arial" w:hAnsi="Arial"/>
          <w:sz w:val="18"/>
          <w:szCs w:val="18"/>
          <w:color w:val="auto"/>
        </w:rPr>
        <w:t>each of which may make it difficult for us to complete our initial business combination. In addition, we may have imposed upon us burdensome requirements, including:</w:t>
      </w:r>
    </w:p>
    <w:p>
      <w:pPr>
        <w:spacing w:after="0" w:line="8" w:lineRule="exact"/>
        <w:rPr>
          <w:sz w:val="20"/>
          <w:szCs w:val="20"/>
          <w:color w:val="auto"/>
        </w:rPr>
      </w:pPr>
    </w:p>
    <w:p>
      <w:pPr>
        <w:ind w:left="1040" w:hanging="26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36" w:lineRule="exact"/>
        <w:rPr>
          <w:rFonts w:ascii="Arial" w:cs="Arial" w:eastAsia="Arial" w:hAnsi="Arial"/>
          <w:sz w:val="18"/>
          <w:szCs w:val="18"/>
          <w:color w:val="auto"/>
        </w:rPr>
      </w:pPr>
    </w:p>
    <w:p>
      <w:pPr>
        <w:ind w:left="1100" w:right="939" w:hanging="322"/>
        <w:spacing w:after="0" w:line="246" w:lineRule="auto"/>
        <w:tabs>
          <w:tab w:leader="none" w:pos="10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 that we are not currently subject to.</w:t>
      </w:r>
    </w:p>
    <w:p>
      <w:pPr>
        <w:spacing w:after="0" w:line="116" w:lineRule="exact"/>
        <w:rPr>
          <w:sz w:val="20"/>
          <w:szCs w:val="20"/>
          <w:color w:val="auto"/>
        </w:rPr>
      </w:pPr>
    </w:p>
    <w:p>
      <w:pPr>
        <w:ind w:left="460" w:right="639"/>
        <w:spacing w:after="0" w:line="236"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39"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w:t>
      </w:r>
    </w:p>
    <w:p>
      <w:pPr>
        <w:spacing w:after="0" w:line="7" w:lineRule="exact"/>
        <w:rPr>
          <w:sz w:val="20"/>
          <w:szCs w:val="20"/>
          <w:color w:val="auto"/>
        </w:rPr>
      </w:pPr>
    </w:p>
    <w:p>
      <w:pPr>
        <w:ind w:left="460" w:right="539" w:hanging="6"/>
        <w:spacing w:after="0"/>
        <w:tabs>
          <w:tab w:leader="none" w:pos="71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redemption of any public shares properly tendered in connection with a stockholder vote to amend our amended and restated certificate of incorporation to modify the substance or timing of our obligation to redeem 100% of our public shares if</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42" w:name="page43"/>
    <w:bookmarkEnd w:id="42"/>
    <w:p>
      <w:pPr>
        <w:ind w:left="460" w:right="479"/>
        <w:spacing w:after="0" w:line="236" w:lineRule="auto"/>
        <w:rPr>
          <w:sz w:val="20"/>
          <w:szCs w:val="20"/>
          <w:color w:val="auto"/>
        </w:rPr>
      </w:pPr>
      <w:r>
        <w:rPr>
          <w:rFonts w:ascii="Arial" w:cs="Arial" w:eastAsia="Arial" w:hAnsi="Arial"/>
          <w:sz w:val="18"/>
          <w:szCs w:val="18"/>
          <w:color w:val="auto"/>
        </w:rPr>
        <w:t>we do not complete our initial business combination within 24 months from the closing of this offering; and (iii) absent an initial business combination within 24 months from the closing of this offering or with respect to any other material provisions relating to stockholders’ rights or pre-initial business combination activity,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82" w:lineRule="exact"/>
        <w:rPr>
          <w:sz w:val="20"/>
          <w:szCs w:val="20"/>
          <w:color w:val="auto"/>
        </w:rPr>
      </w:pPr>
    </w:p>
    <w:p>
      <w:pPr>
        <w:ind w:left="460" w:right="919"/>
        <w:spacing w:after="0" w:line="253"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6" w:lineRule="exact"/>
        <w:rPr>
          <w:sz w:val="20"/>
          <w:szCs w:val="20"/>
          <w:color w:val="auto"/>
        </w:rPr>
      </w:pPr>
    </w:p>
    <w:p>
      <w:pPr>
        <w:ind w:left="460" w:right="939"/>
        <w:spacing w:after="0" w:line="271" w:lineRule="auto"/>
        <w:rPr>
          <w:sz w:val="20"/>
          <w:szCs w:val="20"/>
          <w:color w:val="auto"/>
        </w:rPr>
      </w:pPr>
      <w:r>
        <w:rPr>
          <w:rFonts w:ascii="Arial" w:cs="Arial" w:eastAsia="Arial" w:hAnsi="Arial"/>
          <w:sz w:val="18"/>
          <w:szCs w:val="18"/>
          <w:b w:val="1"/>
          <w:bCs w:val="1"/>
          <w:color w:val="auto"/>
        </w:rPr>
        <w:t>Our stockholders may be held liable for claims by third parties against us to the extent of distributions received by them upon redemption of their shares.</w:t>
      </w:r>
    </w:p>
    <w:p>
      <w:pPr>
        <w:spacing w:after="0" w:line="108"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from the closing of this offering in the event we do not complete our initial business combination and, therefore, we do not intend to comply with the foregoing procedures.</w:t>
      </w:r>
    </w:p>
    <w:p>
      <w:pPr>
        <w:spacing w:after="0" w:line="13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3" w:name="page44"/>
    <w:bookmarkEnd w:id="43"/>
    <w:p>
      <w:pPr>
        <w:ind w:left="460" w:right="699"/>
        <w:spacing w:after="0" w:line="238" w:lineRule="auto"/>
        <w:rPr>
          <w:sz w:val="20"/>
          <w:szCs w:val="20"/>
          <w:color w:val="auto"/>
        </w:rPr>
      </w:pPr>
      <w:r>
        <w:rPr>
          <w:rFonts w:ascii="Arial" w:cs="Arial" w:eastAsia="Arial" w:hAnsi="Arial"/>
          <w:sz w:val="18"/>
          <w:szCs w:val="18"/>
          <w:color w:val="auto"/>
        </w:rPr>
        <w:t>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3"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not hold an annual meeting of stockholders until after the consummation of our initial business combination, which could delay the opportunity for our stockholders to elect directors.</w:t>
      </w:r>
    </w:p>
    <w:p>
      <w:pPr>
        <w:spacing w:after="0" w:line="110"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Nasdaq’s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84" w:lineRule="exact"/>
        <w:rPr>
          <w:sz w:val="20"/>
          <w:szCs w:val="20"/>
          <w:color w:val="auto"/>
        </w:rPr>
      </w:pPr>
    </w:p>
    <w:p>
      <w:pPr>
        <w:ind w:left="460" w:right="1279"/>
        <w:spacing w:after="0" w:line="271" w:lineRule="auto"/>
        <w:rPr>
          <w:sz w:val="20"/>
          <w:szCs w:val="20"/>
          <w:color w:val="auto"/>
        </w:rPr>
      </w:pPr>
      <w:r>
        <w:rPr>
          <w:rFonts w:ascii="Arial" w:cs="Arial" w:eastAsia="Arial" w:hAnsi="Arial"/>
          <w:sz w:val="18"/>
          <w:szCs w:val="18"/>
          <w:b w:val="1"/>
          <w:bCs w:val="1"/>
          <w:color w:val="auto"/>
        </w:rPr>
        <w:t>You will not be permitted to exercise your warrants unless we register and qualify the underlying Class A common stock or certain exemptions are available.</w:t>
      </w:r>
    </w:p>
    <w:p>
      <w:pPr>
        <w:spacing w:after="0" w:line="108"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If the issuance of the Class A common stock upon exercise of the warrants is not registered, qualified or exempt from registration or qualification under the Securities Act and applicable state securities laws, holders of warrants will not be entitled to exercise such warrants and such warrants may have no value and expire worthless. In such event, holders who acquired their warrants as part of a purchase of units will have paid the full unit purchase price solely for the Class A common stock included in the units.</w:t>
      </w:r>
    </w:p>
    <w:p>
      <w:pPr>
        <w:spacing w:after="0" w:line="13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are not registering the Class A common stock issuable upon exercise of the warrants under the Securities Act or any state securities laws at this time. However, under the terms of the warrant agreement, we have agreed that, as soon as practicable, but in no event later than 15 business days, after the closing of our initial business combination, we will use our best efforts to file with the SEC a registration statement covering the registration under the Securities Act of the Class A common stock issuable upon exercise of the warrants and thereafter will use our best efforts to cause the same to become effective within 60 business days following our initial business combination and to maintain a current prospectus relating to the Class A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22" w:lineRule="exact"/>
        <w:rPr>
          <w:sz w:val="20"/>
          <w:szCs w:val="20"/>
          <w:color w:val="auto"/>
        </w:rPr>
      </w:pPr>
    </w:p>
    <w:p>
      <w:pPr>
        <w:ind w:left="460" w:right="599"/>
        <w:spacing w:after="0" w:line="257" w:lineRule="auto"/>
        <w:rPr>
          <w:sz w:val="20"/>
          <w:szCs w:val="20"/>
          <w:color w:val="auto"/>
        </w:rPr>
      </w:pPr>
      <w:r>
        <w:rPr>
          <w:rFonts w:ascii="Arial" w:cs="Arial" w:eastAsia="Arial" w:hAnsi="Arial"/>
          <w:sz w:val="17"/>
          <w:szCs w:val="17"/>
          <w:color w:val="auto"/>
        </w:rPr>
        <w:t>If the shares of Class A common stock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21"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our shares of Class A common stock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44" w:name="page45"/>
    <w:bookmarkEnd w:id="44"/>
    <w:p>
      <w:pPr>
        <w:ind w:left="460" w:right="499"/>
        <w:spacing w:after="0" w:line="238"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183"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You may only be able to exercise your public warrants on a “cashless basis” under certain circumstances, and if you do so, you will receive fewer shares of Class A common stock from such exercise than if you were to exercise such warrants for cash.</w:t>
      </w:r>
    </w:p>
    <w:p>
      <w:pPr>
        <w:spacing w:after="0" w:line="110"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shares of Class A common stock issuable upon exercise of the warrants are not registered under the Securities Act in accordance with the terms of the warrant agreement; and (ii) if we have so elected and the shares of Class A common stock is at the time of any exercise of a warrant not listed on a national securities exchange such that they satisfy the definition of “covered securities” under Section 18(b)(1) of the Securities Act. If you exercise your public warrants on a cashless basis under the circumstances described in clauses (i) and (ii) in the preceding sentence, you would pay the warrant exercise price by surrendering the warrants for that number of shares of Class A common stock equal to the quotient obtained by dividing (x) the product of the number of shares of Class A common stock underlying the warrants, multiplied by the excess of the “fair market value” of our shares of Class A common stock (as defined in the next sentence) over the exercise price of the warrants by (y) the fair market value. The “fair market value” is the average reported closing price of the shares of Class A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Class A common stock from such exercise than if you were to exercise such warrants for cash.</w:t>
      </w:r>
    </w:p>
    <w:p>
      <w:pPr>
        <w:spacing w:after="0" w:line="83" w:lineRule="exact"/>
        <w:rPr>
          <w:sz w:val="20"/>
          <w:szCs w:val="20"/>
          <w:color w:val="auto"/>
        </w:rPr>
      </w:pPr>
    </w:p>
    <w:p>
      <w:pPr>
        <w:ind w:left="460" w:right="619"/>
        <w:spacing w:after="0" w:line="247" w:lineRule="auto"/>
        <w:rPr>
          <w:sz w:val="20"/>
          <w:szCs w:val="20"/>
          <w:color w:val="auto"/>
        </w:rPr>
      </w:pPr>
      <w:r>
        <w:rPr>
          <w:rFonts w:ascii="Arial" w:cs="Arial" w:eastAsia="Arial" w:hAnsi="Arial"/>
          <w:sz w:val="18"/>
          <w:szCs w:val="18"/>
          <w:b w:val="1"/>
          <w:bCs w:val="1"/>
          <w:color w:val="auto"/>
        </w:rPr>
        <w:t>The grant of registration rights to our initial stockholders and their permitted transferees and holders of our private placement warrants and their permitted transferees may make it more difficult to complete our initial business combination, and the future exercise of such rights may adversely affect the market price of our shares of Class A common stock.</w:t>
      </w:r>
    </w:p>
    <w:p>
      <w:pPr>
        <w:spacing w:after="0" w:line="88"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Pursuant to an agreement to be entered into concurrently with or prior to the issuance and sale of the securities in this offering, at or after the time of our initial business combination, our initial stockholders and their permitted transferees can demand that we register the shares of Class A common stock into which founder shares are convertible, holders of our private placement warrants and their permitted transferees can demand that we register the private placement warrants and the Class A common stock issuable upon exercise of the private placement warrants and holders of warrants that may be issued upon conversion of working capital loans may demand that we register such warrants or the Class A common stock issuable upon conversion of such warrants. The registration rights will be exercisable with respect to the founder shares and the private placement warrants and the Class A common stock issuable upon exercise of such private placement warrants. We will bear the cost of registering these securities. The registration and availability of such a significant number of securities for trading in the public market may have an adverse effect on the market price of our Class A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Class A common stock that is expected when the shares of common stock owned by our initial stockholders, holders of our private placement warrants or holders of our working capital loans or their respective permitted transferees are registered.</w:t>
      </w:r>
    </w:p>
    <w:p>
      <w:pPr>
        <w:spacing w:after="0" w:line="83" w:lineRule="exact"/>
        <w:rPr>
          <w:sz w:val="20"/>
          <w:szCs w:val="20"/>
          <w:color w:val="auto"/>
        </w:rPr>
      </w:pPr>
    </w:p>
    <w:p>
      <w:pPr>
        <w:ind w:left="460" w:right="799"/>
        <w:spacing w:after="0" w:line="247" w:lineRule="auto"/>
        <w:rPr>
          <w:sz w:val="20"/>
          <w:szCs w:val="20"/>
          <w:color w:val="auto"/>
        </w:rPr>
      </w:pPr>
      <w:r>
        <w:rPr>
          <w:rFonts w:ascii="Arial" w:cs="Arial" w:eastAsia="Arial" w:hAnsi="Arial"/>
          <w:sz w:val="18"/>
          <w:szCs w:val="18"/>
          <w:b w:val="1"/>
          <w:bCs w:val="1"/>
          <w:color w:val="auto"/>
        </w:rPr>
        <w:t>Because we are neither limited to evaluating a target business in a particular industry or sector nor have we selected any specific target businesses with which to pursue our initial business combination, you will be unable to ascertain the merits or risks of any particular target business’s operations.</w:t>
      </w:r>
    </w:p>
    <w:p>
      <w:pPr>
        <w:spacing w:after="0" w:line="12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acquire and operate a business or businesses that can benefit from our management team’s established global relationships and operating experience. Our management team has extensive experience in identifying and executing strategic investments globally and has done so successfully in a number of sectors. Our amended and restated certificate of incorporation prohibits us from effectuating a business combination with another blank check company or similar company with nominal operations.</w:t>
      </w:r>
    </w:p>
    <w:p>
      <w:pPr>
        <w:sectPr>
          <w:pgSz w:w="11900" w:h="16838" w:orient="portrait"/>
          <w:cols w:equalWidth="0" w:num="1">
            <w:col w:w="9019"/>
          </w:cols>
          <w:pgMar w:left="1440" w:top="287"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5" w:name="page46"/>
    <w:bookmarkEnd w:id="45"/>
    <w:p>
      <w:pPr>
        <w:ind w:left="460" w:right="479"/>
        <w:spacing w:after="0" w:line="235" w:lineRule="auto"/>
        <w:rPr>
          <w:sz w:val="20"/>
          <w:szCs w:val="20"/>
          <w:color w:val="auto"/>
        </w:rPr>
      </w:pPr>
      <w:r>
        <w:rPr>
          <w:rFonts w:ascii="Arial" w:cs="Arial" w:eastAsia="Arial" w:hAnsi="Arial"/>
          <w:sz w:val="18"/>
          <w:szCs w:val="18"/>
          <w:color w:val="auto"/>
        </w:rPr>
        <w:t>Because we have not yet selected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190" w:lineRule="exact"/>
        <w:rPr>
          <w:sz w:val="20"/>
          <w:szCs w:val="20"/>
          <w:color w:val="auto"/>
        </w:rPr>
      </w:pPr>
    </w:p>
    <w:p>
      <w:pPr>
        <w:ind w:left="460" w:right="1279"/>
        <w:spacing w:after="0" w:line="271" w:lineRule="auto"/>
        <w:rPr>
          <w:sz w:val="20"/>
          <w:szCs w:val="20"/>
          <w:color w:val="auto"/>
        </w:rPr>
      </w:pPr>
      <w:r>
        <w:rPr>
          <w:rFonts w:ascii="Arial" w:cs="Arial" w:eastAsia="Arial" w:hAnsi="Arial"/>
          <w:sz w:val="18"/>
          <w:szCs w:val="18"/>
          <w:b w:val="1"/>
          <w:bCs w:val="1"/>
          <w:color w:val="auto"/>
        </w:rPr>
        <w:t>Past performance by our management team and their respective affiliates may not be indicative of future performance of an investment in us.</w:t>
      </w:r>
    </w:p>
    <w:p>
      <w:pPr>
        <w:spacing w:after="0" w:line="95"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Information regarding performance by, or businesses associated with, our management team or businesses associated with them is presented for informational purposes only. Past performance by our management team and their respective affiliates is not a guarantee either (i) of success with respect to any business combination we may consummate or (ii) that we will be able to locate a suitable candidate for our initial business combination. You should not rely on the historical record of the performance of our management team’s or businesses associated with them as indicative of our future performance of an investment in us or the returns we will, or is likely to, generate going forward.</w:t>
      </w:r>
    </w:p>
    <w:p>
      <w:pPr>
        <w:spacing w:after="0" w:line="186" w:lineRule="exact"/>
        <w:rPr>
          <w:sz w:val="20"/>
          <w:szCs w:val="20"/>
          <w:color w:val="auto"/>
        </w:rPr>
      </w:pPr>
    </w:p>
    <w:p>
      <w:pPr>
        <w:ind w:left="460" w:right="519"/>
        <w:spacing w:after="0" w:line="271" w:lineRule="auto"/>
        <w:rPr>
          <w:sz w:val="20"/>
          <w:szCs w:val="20"/>
          <w:color w:val="auto"/>
        </w:rPr>
      </w:pPr>
      <w:r>
        <w:rPr>
          <w:rFonts w:ascii="Arial" w:cs="Arial" w:eastAsia="Arial" w:hAnsi="Arial"/>
          <w:sz w:val="18"/>
          <w:szCs w:val="18"/>
          <w:b w:val="1"/>
          <w:bCs w:val="1"/>
          <w:color w:val="auto"/>
        </w:rPr>
        <w:t>We may seek business combination opportunities in industries or sectors that may be outside of our management’s areas of expertise.</w:t>
      </w:r>
    </w:p>
    <w:p>
      <w:pPr>
        <w:spacing w:after="0" w:line="108"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We will consider a business combination in industries or sectors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 business combination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ascertain or assess adequately all of the relevant risk factors. Accordingly, any stockholders or warrant holders who choose to remain stockholders or warrant holders, respectively, following our initial business combination could suffer a reduction in the value of their shares. Such stockholders or warrant holders are unlikely to have a remedy for such reduction in value.</w:t>
      </w:r>
    </w:p>
    <w:p>
      <w:pPr>
        <w:spacing w:after="0" w:line="191" w:lineRule="exact"/>
        <w:rPr>
          <w:sz w:val="20"/>
          <w:szCs w:val="20"/>
          <w:color w:val="auto"/>
        </w:rPr>
      </w:pPr>
    </w:p>
    <w:p>
      <w:pPr>
        <w:ind w:left="460" w:right="599"/>
        <w:spacing w:after="0" w:line="244" w:lineRule="auto"/>
        <w:rPr>
          <w:sz w:val="20"/>
          <w:szCs w:val="20"/>
          <w:color w:val="auto"/>
        </w:rPr>
      </w:pPr>
      <w:r>
        <w:rPr>
          <w:rFonts w:ascii="Arial" w:cs="Arial" w:eastAsia="Arial" w:hAnsi="Arial"/>
          <w:sz w:val="18"/>
          <w:szCs w:val="18"/>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31"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6" w:name="page47"/>
    <w:bookmarkEnd w:id="46"/>
    <w:p>
      <w:pPr>
        <w:ind w:left="460" w:right="479"/>
        <w:spacing w:after="0" w:line="236" w:lineRule="auto"/>
        <w:rPr>
          <w:sz w:val="20"/>
          <w:szCs w:val="20"/>
          <w:color w:val="auto"/>
        </w:rPr>
      </w:pPr>
      <w:r>
        <w:rPr>
          <w:rFonts w:ascii="Arial" w:cs="Arial" w:eastAsia="Arial" w:hAnsi="Arial"/>
          <w:sz w:val="18"/>
          <w:szCs w:val="18"/>
          <w:color w:val="auto"/>
        </w:rPr>
        <w:t>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law or stock exchange listing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only receive their pro rata portion of the funds in the trust account that are available for distribution to public stockholders, and our warrants will expire worthless.</w:t>
      </w:r>
    </w:p>
    <w:p>
      <w:pPr>
        <w:spacing w:after="0" w:line="183" w:lineRule="exact"/>
        <w:rPr>
          <w:sz w:val="20"/>
          <w:szCs w:val="20"/>
          <w:color w:val="auto"/>
        </w:rPr>
      </w:pPr>
    </w:p>
    <w:p>
      <w:pPr>
        <w:ind w:left="460" w:right="479"/>
        <w:spacing w:after="0" w:line="247"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stockholders from a financial point of view.</w:t>
      </w:r>
    </w:p>
    <w:p>
      <w:pPr>
        <w:spacing w:after="0" w:line="115"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85" w:lineRule="exact"/>
        <w:rPr>
          <w:sz w:val="20"/>
          <w:szCs w:val="20"/>
          <w:color w:val="auto"/>
        </w:rPr>
      </w:pPr>
    </w:p>
    <w:p>
      <w:pPr>
        <w:ind w:left="460" w:right="519"/>
        <w:spacing w:after="0"/>
        <w:rPr>
          <w:sz w:val="20"/>
          <w:szCs w:val="20"/>
          <w:color w:val="auto"/>
        </w:rPr>
      </w:pPr>
      <w:r>
        <w:rPr>
          <w:rFonts w:ascii="Arial" w:cs="Arial" w:eastAsia="Arial" w:hAnsi="Arial"/>
          <w:sz w:val="18"/>
          <w:szCs w:val="18"/>
          <w:b w:val="1"/>
          <w:bCs w:val="1"/>
          <w:color w:val="auto"/>
        </w:rPr>
        <w:t>We may issue additional shares of Class A common stock or shares of preferred stock to complete our initial business combination or under an employee incentive plan after completion of our initial business combination. We may also issue shares of Class A common stock upon the conversion of the founder shares at a ratio greater than one-to-one at the time of our initial business combination as a result of the anti-dilution provisions contained in our amended and restated certificate of incorporation. Any such issuances would dilute the interest of our stockholders and likely present other risks.</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amended and restated certificate of incorporation authorizes the issuance of up to 380,000,000 shares of Class A common stock, par value $ 0.0001 per share, 10,000,000 shares of Class B common stock, par value $0.0001 per share, and 1,000,000 shares of preferred stock, par value $0.0001 per share. Immediately after this offering, there will be 170,000,000 and 7,500,000 (assuming in each case that the underwriters have not exercised their over-allotment option and the forfeiture of 375,000 shares of Class B common stock) authorized but unissued shares of Class A common stock and Class B common stock, respectively, available for issuance which amount does not take into account shares reserved for issuance upon exercise of outstanding warrants or shares issuable upon conversion of the Class B common stock. The Class B common stock is automatically convertible into Class A common stock concurrently with or immediately following the consummation of our initial business combination, initially at a one-for-one ratio but subject to adjustment as set forth herein and in our amended and restated certificate of incorporation. Immediately after this offering, there will be no shares of preferred stock issued and outstanding.</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may issue a substantial number of additional shares of Class A common stock or shares of preferred stock to complete our initial business combination or under an employee incentive plan after completion of our initial business combination. We may also issue shares of Class A common stock upon conversion of the Class B common stock at a ratio greater than one-to-one at the time of our initial business combination as a result of the anti-dilution provisions as set forth therein. However, our amended and restated certificate of incorporation provides, among other things, that prior to our initial business combination, we may not issue additional shares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 These provisions of our amended and restated certificate of incorporation, like all provisions of our amended and restated certificate of incorporation, may be amended with a stockholder vote. The issuance of additional shares of common stock or shares of preferred stock:</w:t>
      </w:r>
    </w:p>
    <w:p>
      <w:pPr>
        <w:spacing w:after="0" w:line="25" w:lineRule="exact"/>
        <w:rPr>
          <w:sz w:val="20"/>
          <w:szCs w:val="20"/>
          <w:color w:val="auto"/>
        </w:rPr>
      </w:pPr>
    </w:p>
    <w:p>
      <w:pPr>
        <w:ind w:left="1040" w:hanging="262"/>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ectPr>
          <w:pgSz w:w="11900" w:h="16838" w:orient="portrait"/>
          <w:cols w:equalWidth="0" w:num="1">
            <w:col w:w="9019"/>
          </w:cols>
          <w:pgMar w:left="1440" w:top="287" w:right="1440"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47" w:name="page48"/>
    <w:bookmarkEnd w:id="47"/>
    <w:p>
      <w:pPr>
        <w:ind w:left="1100" w:right="759" w:hanging="322"/>
        <w:spacing w:after="0" w:line="246"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7" w:lineRule="exact"/>
        <w:rPr>
          <w:rFonts w:ascii="Arial" w:cs="Arial" w:eastAsia="Arial" w:hAnsi="Arial"/>
          <w:sz w:val="18"/>
          <w:szCs w:val="18"/>
          <w:color w:val="auto"/>
        </w:rPr>
      </w:pPr>
    </w:p>
    <w:p>
      <w:pPr>
        <w:ind w:left="1100" w:right="539" w:hanging="322"/>
        <w:spacing w:after="0" w:line="238"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Class A common stock is issued, which may affect, among other things, our ability to use our net operating loss carry forwards, if any, and could result in the resignation or removal of our present officers and directors; and</w:t>
      </w:r>
    </w:p>
    <w:p>
      <w:pPr>
        <w:spacing w:after="0" w:line="29"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common stock and/or warrants.</w:t>
      </w:r>
    </w:p>
    <w:p>
      <w:pPr>
        <w:spacing w:after="0" w:line="175" w:lineRule="exact"/>
        <w:rPr>
          <w:sz w:val="20"/>
          <w:szCs w:val="20"/>
          <w:color w:val="auto"/>
        </w:rPr>
      </w:pPr>
    </w:p>
    <w:p>
      <w:pPr>
        <w:jc w:val="both"/>
        <w:ind w:left="460" w:right="959"/>
        <w:spacing w:after="0" w:line="253"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stockholders will receive additional shares of Class A common stock if we issue certain shares to consummate an initial business combination.</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founder shares will automatically convert into shares of Class A common stock concurrently with</w:t>
      </w:r>
    </w:p>
    <w:p>
      <w:pPr>
        <w:ind w:left="460"/>
        <w:spacing w:after="0"/>
        <w:rPr>
          <w:sz w:val="20"/>
          <w:szCs w:val="20"/>
          <w:color w:val="auto"/>
        </w:rPr>
      </w:pPr>
      <w:r>
        <w:rPr>
          <w:rFonts w:ascii="Arial" w:cs="Arial" w:eastAsia="Arial" w:hAnsi="Arial"/>
          <w:sz w:val="17"/>
          <w:szCs w:val="17"/>
          <w:color w:val="auto"/>
        </w:rPr>
        <w:t>or immediately following the consummation of our initial business combination on a one-for-one basis,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adjustment for stock splits, stock dividends, reorganizations, recapitalizations and the like,</w:t>
      </w:r>
    </w:p>
    <w:p>
      <w:pPr>
        <w:ind w:left="460"/>
        <w:spacing w:after="0" w:line="234" w:lineRule="auto"/>
        <w:rPr>
          <w:sz w:val="20"/>
          <w:szCs w:val="20"/>
          <w:color w:val="auto"/>
        </w:rPr>
      </w:pPr>
      <w:r>
        <w:rPr>
          <w:rFonts w:ascii="Arial" w:cs="Arial" w:eastAsia="Arial" w:hAnsi="Arial"/>
          <w:sz w:val="18"/>
          <w:szCs w:val="18"/>
          <w:color w:val="auto"/>
        </w:rPr>
        <w:t>and subject to further adjustment as provided herein. In the case that additional shares of Class A</w:t>
      </w:r>
    </w:p>
    <w:p>
      <w:pPr>
        <w:ind w:left="460"/>
        <w:spacing w:after="0" w:line="235" w:lineRule="auto"/>
        <w:rPr>
          <w:sz w:val="20"/>
          <w:szCs w:val="20"/>
          <w:color w:val="auto"/>
        </w:rPr>
      </w:pPr>
      <w:r>
        <w:rPr>
          <w:rFonts w:ascii="Arial" w:cs="Arial" w:eastAsia="Arial" w:hAnsi="Arial"/>
          <w:sz w:val="18"/>
          <w:szCs w:val="18"/>
          <w:color w:val="auto"/>
        </w:rPr>
        <w:t>common stock or equity-linked securities are issued or deemed issued in connection with our initial</w:t>
      </w:r>
    </w:p>
    <w:p>
      <w:pPr>
        <w:ind w:left="460"/>
        <w:spacing w:after="0" w:line="235" w:lineRule="auto"/>
        <w:rPr>
          <w:sz w:val="20"/>
          <w:szCs w:val="20"/>
          <w:color w:val="auto"/>
        </w:rPr>
      </w:pPr>
      <w:r>
        <w:rPr>
          <w:rFonts w:ascii="Arial" w:cs="Arial" w:eastAsia="Arial" w:hAnsi="Arial"/>
          <w:sz w:val="18"/>
          <w:szCs w:val="18"/>
          <w:color w:val="auto"/>
        </w:rPr>
        <w:t>business combination, the number of shares of Class A common stock issuable upon conversion of</w:t>
      </w:r>
    </w:p>
    <w:p>
      <w:pPr>
        <w:ind w:left="460"/>
        <w:spacing w:after="0" w:line="235" w:lineRule="auto"/>
        <w:rPr>
          <w:sz w:val="20"/>
          <w:szCs w:val="20"/>
          <w:color w:val="auto"/>
        </w:rPr>
      </w:pPr>
      <w:r>
        <w:rPr>
          <w:rFonts w:ascii="Arial" w:cs="Arial" w:eastAsia="Arial" w:hAnsi="Arial"/>
          <w:sz w:val="18"/>
          <w:szCs w:val="18"/>
          <w:color w:val="auto"/>
        </w:rPr>
        <w:t>all founder shares will equal, in the aggregate, on an as-converted basis, 20% of the total number of</w:t>
      </w:r>
    </w:p>
    <w:p>
      <w:pPr>
        <w:ind w:left="460"/>
        <w:spacing w:after="0" w:line="235" w:lineRule="auto"/>
        <w:rPr>
          <w:sz w:val="20"/>
          <w:szCs w:val="20"/>
          <w:color w:val="auto"/>
        </w:rPr>
      </w:pPr>
      <w:r>
        <w:rPr>
          <w:rFonts w:ascii="Arial" w:cs="Arial" w:eastAsia="Arial" w:hAnsi="Arial"/>
          <w:sz w:val="18"/>
          <w:szCs w:val="18"/>
          <w:color w:val="auto"/>
        </w:rPr>
        <w:t>shares of Class A common stock outstanding after such conversion (after giving effect to any</w:t>
      </w:r>
    </w:p>
    <w:p>
      <w:pPr>
        <w:ind w:left="460"/>
        <w:spacing w:after="0"/>
        <w:rPr>
          <w:sz w:val="20"/>
          <w:szCs w:val="20"/>
          <w:color w:val="auto"/>
        </w:rPr>
      </w:pPr>
      <w:r>
        <w:rPr>
          <w:rFonts w:ascii="Arial" w:cs="Arial" w:eastAsia="Arial" w:hAnsi="Arial"/>
          <w:sz w:val="17"/>
          <w:szCs w:val="17"/>
          <w:color w:val="auto"/>
        </w:rPr>
        <w:t>redemptions of shares of Class A common stock by public stockholders), including the total number of</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Class A common stock issued, or deemed issued or issuable upon conversion or exercise</w:t>
      </w:r>
    </w:p>
    <w:p>
      <w:pPr>
        <w:ind w:left="460"/>
        <w:spacing w:after="0" w:line="234" w:lineRule="auto"/>
        <w:rPr>
          <w:sz w:val="20"/>
          <w:szCs w:val="20"/>
          <w:color w:val="auto"/>
        </w:rPr>
      </w:pPr>
      <w:r>
        <w:rPr>
          <w:rFonts w:ascii="Arial" w:cs="Arial" w:eastAsia="Arial" w:hAnsi="Arial"/>
          <w:sz w:val="18"/>
          <w:szCs w:val="18"/>
          <w:color w:val="auto"/>
        </w:rPr>
        <w:t>of any equity-linked securities or rights issued or deemed issued, by the Company in connection with</w:t>
      </w:r>
    </w:p>
    <w:p>
      <w:pPr>
        <w:ind w:left="460"/>
        <w:spacing w:after="0" w:line="235" w:lineRule="auto"/>
        <w:rPr>
          <w:sz w:val="20"/>
          <w:szCs w:val="20"/>
          <w:color w:val="auto"/>
        </w:rPr>
      </w:pPr>
      <w:r>
        <w:rPr>
          <w:rFonts w:ascii="Arial" w:cs="Arial" w:eastAsia="Arial" w:hAnsi="Arial"/>
          <w:sz w:val="18"/>
          <w:szCs w:val="18"/>
          <w:color w:val="auto"/>
        </w:rPr>
        <w:t>or in relation to the consummation of the initial business combination, excluding any shares of</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Class A common stock or equity-linked securities or rights exercisable for or convertible into shares of</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common stock issued, or to be issued, to any seller in the initial business combination and</w:t>
      </w:r>
    </w:p>
    <w:p>
      <w:pPr>
        <w:ind w:left="460"/>
        <w:spacing w:after="0" w:line="234" w:lineRule="auto"/>
        <w:rPr>
          <w:sz w:val="20"/>
          <w:szCs w:val="20"/>
          <w:color w:val="auto"/>
        </w:rPr>
      </w:pPr>
      <w:r>
        <w:rPr>
          <w:rFonts w:ascii="Arial" w:cs="Arial" w:eastAsia="Arial" w:hAnsi="Arial"/>
          <w:sz w:val="18"/>
          <w:szCs w:val="18"/>
          <w:color w:val="auto"/>
        </w:rPr>
        <w:t>any private placement warrants issued to our sponsor, officers or directors upon conversion of</w:t>
      </w:r>
    </w:p>
    <w:p>
      <w:pPr>
        <w:ind w:left="460"/>
        <w:spacing w:after="0" w:line="235" w:lineRule="auto"/>
        <w:rPr>
          <w:sz w:val="20"/>
          <w:szCs w:val="20"/>
          <w:color w:val="auto"/>
        </w:rPr>
      </w:pPr>
      <w:r>
        <w:rPr>
          <w:rFonts w:ascii="Arial" w:cs="Arial" w:eastAsia="Arial" w:hAnsi="Arial"/>
          <w:sz w:val="18"/>
          <w:szCs w:val="18"/>
          <w:color w:val="auto"/>
        </w:rPr>
        <w:t>working capital loans, provided that such conversion of founder shares will never occur on a less than</w:t>
      </w:r>
    </w:p>
    <w:p>
      <w:pPr>
        <w:ind w:left="460"/>
        <w:spacing w:after="0" w:line="235" w:lineRule="auto"/>
        <w:rPr>
          <w:sz w:val="20"/>
          <w:szCs w:val="20"/>
          <w:color w:val="auto"/>
        </w:rPr>
      </w:pPr>
      <w:r>
        <w:rPr>
          <w:rFonts w:ascii="Arial" w:cs="Arial" w:eastAsia="Arial" w:hAnsi="Arial"/>
          <w:sz w:val="18"/>
          <w:szCs w:val="18"/>
          <w:color w:val="auto"/>
        </w:rPr>
        <w:t>one-for-one basis. This is different than some other similarly structured special purpose acquisition</w:t>
      </w:r>
    </w:p>
    <w:p>
      <w:pPr>
        <w:ind w:left="460"/>
        <w:spacing w:after="0" w:line="235" w:lineRule="auto"/>
        <w:rPr>
          <w:sz w:val="20"/>
          <w:szCs w:val="20"/>
          <w:color w:val="auto"/>
        </w:rPr>
      </w:pPr>
      <w:r>
        <w:rPr>
          <w:rFonts w:ascii="Arial" w:cs="Arial" w:eastAsia="Arial" w:hAnsi="Arial"/>
          <w:sz w:val="18"/>
          <w:szCs w:val="18"/>
          <w:color w:val="auto"/>
        </w:rPr>
        <w:t>companies in which the initial stockholders will only be issued an aggregate of 20% of the total</w:t>
      </w:r>
    </w:p>
    <w:p>
      <w:pPr>
        <w:ind w:left="460"/>
        <w:spacing w:after="0"/>
        <w:rPr>
          <w:sz w:val="20"/>
          <w:szCs w:val="20"/>
          <w:color w:val="auto"/>
        </w:rPr>
      </w:pPr>
      <w:r>
        <w:rPr>
          <w:rFonts w:ascii="Arial" w:cs="Arial" w:eastAsia="Arial" w:hAnsi="Arial"/>
          <w:sz w:val="18"/>
          <w:szCs w:val="18"/>
          <w:color w:val="auto"/>
        </w:rPr>
        <w:t>number of shares to be outstanding prior to our initial business combination.</w:t>
      </w:r>
    </w:p>
    <w:p>
      <w:pPr>
        <w:spacing w:after="0" w:line="190" w:lineRule="exact"/>
        <w:rPr>
          <w:sz w:val="20"/>
          <w:szCs w:val="20"/>
          <w:color w:val="auto"/>
        </w:rPr>
      </w:pPr>
    </w:p>
    <w:p>
      <w:pPr>
        <w:ind w:left="460" w:right="499"/>
        <w:spacing w:after="0" w:line="242" w:lineRule="auto"/>
        <w:rPr>
          <w:sz w:val="20"/>
          <w:szCs w:val="20"/>
          <w:color w:val="auto"/>
        </w:rPr>
      </w:pPr>
      <w:r>
        <w:rPr>
          <w:rFonts w:ascii="Arial" w:cs="Arial" w:eastAsia="Arial" w:hAnsi="Arial"/>
          <w:sz w:val="18"/>
          <w:szCs w:val="18"/>
          <w:b w:val="1"/>
          <w:b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20"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w:t>
      </w:r>
    </w:p>
    <w:p>
      <w:pPr>
        <w:spacing w:after="0" w:line="182" w:lineRule="exact"/>
        <w:rPr>
          <w:sz w:val="20"/>
          <w:szCs w:val="20"/>
          <w:color w:val="auto"/>
        </w:rPr>
      </w:pPr>
    </w:p>
    <w:p>
      <w:pPr>
        <w:ind w:left="460" w:right="799"/>
        <w:spacing w:after="0" w:line="271"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10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executive officers could have a detrimental effect on us.</w:t>
      </w:r>
    </w:p>
    <w:p>
      <w:pPr>
        <w:sectPr>
          <w:pgSz w:w="11900" w:h="16838" w:orient="portrait"/>
          <w:cols w:equalWidth="0" w:num="1">
            <w:col w:w="9019"/>
          </w:cols>
          <w:pgMar w:left="1440" w:top="179"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type w:val="continuous"/>
        </w:sectPr>
      </w:pPr>
    </w:p>
    <w:bookmarkStart w:id="48" w:name="page49"/>
    <w:bookmarkEnd w:id="48"/>
    <w:p>
      <w:pPr>
        <w:ind w:left="460" w:right="539"/>
        <w:spacing w:after="0" w:line="247"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2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85" w:lineRule="exact"/>
        <w:rPr>
          <w:sz w:val="20"/>
          <w:szCs w:val="20"/>
          <w:color w:val="auto"/>
        </w:rPr>
      </w:pPr>
    </w:p>
    <w:p>
      <w:pPr>
        <w:ind w:left="460" w:right="519"/>
        <w:spacing w:after="0" w:line="242"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2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subject to their fiduciary duties under Delaware law.</w:t>
      </w:r>
    </w:p>
    <w:p>
      <w:pPr>
        <w:spacing w:after="0" w:line="185" w:lineRule="exact"/>
        <w:rPr>
          <w:sz w:val="20"/>
          <w:szCs w:val="20"/>
          <w:color w:val="auto"/>
        </w:rPr>
      </w:pPr>
    </w:p>
    <w:p>
      <w:pPr>
        <w:ind w:left="460" w:right="499"/>
        <w:spacing w:after="0" w:line="253"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w:t>
      </w:r>
    </w:p>
    <w:p>
      <w:pPr>
        <w:spacing w:after="0" w:line="123"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stockholders or warrant holders who choose to remain stockholders or warrant holders following the business combination could suffer a reduction in the value of their securities. Such stockholders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2"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12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9" w:name="page50"/>
    <w:bookmarkEnd w:id="49"/>
    <w:p>
      <w:pPr>
        <w:ind w:left="460" w:right="819"/>
        <w:spacing w:after="0" w:line="247" w:lineRule="auto"/>
        <w:rPr>
          <w:sz w:val="20"/>
          <w:szCs w:val="20"/>
          <w:color w:val="auto"/>
        </w:rPr>
      </w:pPr>
      <w:r>
        <w:rPr>
          <w:rFonts w:ascii="Arial" w:cs="Arial" w:eastAsia="Arial" w:hAnsi="Arial"/>
          <w:sz w:val="18"/>
          <w:szCs w:val="18"/>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82" w:lineRule="exact"/>
        <w:rPr>
          <w:sz w:val="20"/>
          <w:szCs w:val="20"/>
          <w:color w:val="auto"/>
        </w:rPr>
      </w:pPr>
    </w:p>
    <w:p>
      <w:pPr>
        <w:ind w:left="460" w:right="559"/>
        <w:spacing w:after="0" w:line="275" w:lineRule="auto"/>
        <w:rPr>
          <w:sz w:val="20"/>
          <w:szCs w:val="20"/>
          <w:color w:val="auto"/>
        </w:rPr>
      </w:pPr>
      <w:r>
        <w:rPr>
          <w:rFonts w:ascii="Arial" w:cs="Arial" w:eastAsia="Arial" w:hAnsi="Arial"/>
          <w:sz w:val="17"/>
          <w:szCs w:val="17"/>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93"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Following the completion of this offering and until we consummate our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entity.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ventures may present additional conflicts of interest in pursuing an initial business combination. However, we do not believe that any such potential conflicts would materially affect our ability to complete our initial business combination.</w:t>
      </w:r>
    </w:p>
    <w:p>
      <w:pPr>
        <w:spacing w:after="0" w:line="14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83" w:lineRule="exact"/>
        <w:rPr>
          <w:sz w:val="20"/>
          <w:szCs w:val="20"/>
          <w:color w:val="auto"/>
        </w:rPr>
      </w:pPr>
    </w:p>
    <w:p>
      <w:pPr>
        <w:ind w:left="460" w:right="919"/>
        <w:spacing w:after="0" w:line="271"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108"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0" w:name="page51"/>
    <w:bookmarkEnd w:id="50"/>
    <w:p>
      <w:pPr>
        <w:ind w:left="460" w:right="479"/>
        <w:spacing w:after="0" w:line="236" w:lineRule="auto"/>
        <w:rPr>
          <w:sz w:val="20"/>
          <w:szCs w:val="20"/>
          <w:color w:val="auto"/>
        </w:rPr>
      </w:pPr>
      <w:r>
        <w:rPr>
          <w:rFonts w:ascii="Arial" w:cs="Arial" w:eastAsia="Arial" w:hAnsi="Arial"/>
          <w:sz w:val="18"/>
          <w:szCs w:val="18"/>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stockholders’ best interest. If this were the case, it would be a breach of their fiduciary duties to us as a matter of Delaware law and we or our stockholders might have a claim against such individuals for infringing on our stockholders’ rights. However, we might not ultimately be successful in any claim we may make against them for such reason.</w:t>
      </w:r>
    </w:p>
    <w:p>
      <w:pPr>
        <w:spacing w:after="0" w:line="185" w:lineRule="exact"/>
        <w:rPr>
          <w:sz w:val="20"/>
          <w:szCs w:val="20"/>
          <w:color w:val="auto"/>
        </w:rPr>
      </w:pPr>
    </w:p>
    <w:p>
      <w:pPr>
        <w:ind w:left="460" w:right="519"/>
        <w:spacing w:after="0" w:line="253"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10"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In light of the involvement of our sponsor, executive officers and directors with other entities, we may decide to acquire one or more businesses affiliated with our sponsor, executive officers, directors or existing holders. Our directors and officers also serve as officers and board members for other entities, including, without limitation, those described under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Selection of a target business and structuring of our initial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executive officers, directors or existing holders, potential conflicts of interest still may exist and, as a result, the terms of the business combination may not be as advantageous to our public stockholders as they would be absent any conflicts of interest.</w:t>
      </w:r>
    </w:p>
    <w:p>
      <w:pPr>
        <w:spacing w:after="0" w:line="191" w:lineRule="exact"/>
        <w:rPr>
          <w:sz w:val="20"/>
          <w:szCs w:val="20"/>
          <w:color w:val="auto"/>
        </w:rPr>
      </w:pPr>
    </w:p>
    <w:p>
      <w:pPr>
        <w:ind w:left="460" w:right="479"/>
        <w:spacing w:after="0" w:line="244" w:lineRule="auto"/>
        <w:rPr>
          <w:sz w:val="20"/>
          <w:szCs w:val="20"/>
          <w:color w:val="auto"/>
        </w:rPr>
      </w:pPr>
      <w:r>
        <w:rPr>
          <w:rFonts w:ascii="Arial" w:cs="Arial" w:eastAsia="Arial" w:hAnsi="Arial"/>
          <w:sz w:val="18"/>
          <w:szCs w:val="18"/>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31"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units if the underwriters’ over-allotment option is exercised in full, and therefore that such founder shares would represent 20% of the outstanding shares after this offering. Up to 375,000 of the founder shares will be forfeited depending on the extent to which the underwriters’ over-allotment is exercised. The founder shares will be worthless if we do not complete an initial business combination. In addition, our sponsor has committed to purchase an aggregate of 2,666,667 private placement warrants (or 2,866,667 warrants if the underwriters’ over-allotment option is exercised in full), each exercisable for one share of Class A common stock at $11.50 per share, for an aggregate purchase price of $4,000,000 (or $ 4,300,000 if the underwriters’ over-allotment option is exercised in full), or $1.50 per warrant, that will also be worthless if we do not complete our initial business combination.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completion of an initial business combination.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1" w:name="page52"/>
    <w:bookmarkEnd w:id="51"/>
    <w:p>
      <w:pPr>
        <w:jc w:val="both"/>
        <w:ind w:left="460" w:right="579"/>
        <w:spacing w:after="0" w:line="253"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stockholders’ investment in us.</w:t>
      </w:r>
    </w:p>
    <w:p>
      <w:pPr>
        <w:spacing w:after="0" w:line="123"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4" w:lineRule="exact"/>
        <w:rPr>
          <w:sz w:val="20"/>
          <w:szCs w:val="20"/>
          <w:color w:val="auto"/>
        </w:rPr>
      </w:pPr>
    </w:p>
    <w:p>
      <w:pPr>
        <w:ind w:left="1100" w:right="109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7"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7" w:lineRule="exact"/>
        <w:rPr>
          <w:rFonts w:ascii="Arial" w:cs="Arial" w:eastAsia="Arial" w:hAnsi="Arial"/>
          <w:sz w:val="18"/>
          <w:szCs w:val="18"/>
          <w:color w:val="auto"/>
        </w:rPr>
      </w:pPr>
    </w:p>
    <w:p>
      <w:pPr>
        <w:ind w:left="1100" w:right="59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36" w:lineRule="exact"/>
        <w:rPr>
          <w:rFonts w:ascii="Arial" w:cs="Arial" w:eastAsia="Arial" w:hAnsi="Arial"/>
          <w:sz w:val="18"/>
          <w:szCs w:val="18"/>
          <w:color w:val="auto"/>
        </w:rPr>
      </w:pPr>
    </w:p>
    <w:p>
      <w:pPr>
        <w:jc w:val="both"/>
        <w:ind w:left="1100" w:right="499" w:hanging="322"/>
        <w:spacing w:after="0"/>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13"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79" w:hanging="322"/>
        <w:spacing w:after="0" w:line="246" w:lineRule="auto"/>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21" w:lineRule="exact"/>
        <w:rPr>
          <w:rFonts w:ascii="Arial" w:cs="Arial" w:eastAsia="Arial" w:hAnsi="Arial"/>
          <w:sz w:val="18"/>
          <w:szCs w:val="18"/>
          <w:color w:val="auto"/>
        </w:rPr>
      </w:pPr>
    </w:p>
    <w:p>
      <w:pPr>
        <w:ind w:left="1100" w:right="779" w:hanging="322"/>
        <w:spacing w:after="0"/>
        <w:tabs>
          <w:tab w:leader="none" w:pos="1039"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81" w:lineRule="exact"/>
        <w:rPr>
          <w:sz w:val="20"/>
          <w:szCs w:val="20"/>
          <w:color w:val="auto"/>
        </w:rPr>
      </w:pPr>
    </w:p>
    <w:p>
      <w:pPr>
        <w:ind w:left="460" w:right="539"/>
        <w:spacing w:after="0" w:line="247"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15"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The net proceeds from this offering and the private placement of warrants will provide us with $96,500,000 (or $110,975,000 if the underwriters’ over-allotment option is exercised in full) that we may use to complete our initial business combination (after taking into account the $3,500,000, or up to $4,025,000 if the over-allotment option is exercised in full, of deferred underwriting commissions being held in the trust account).</w:t>
      </w:r>
    </w:p>
    <w:p>
      <w:pPr>
        <w:spacing w:after="0" w:line="135" w:lineRule="exact"/>
        <w:rPr>
          <w:sz w:val="20"/>
          <w:szCs w:val="20"/>
          <w:color w:val="auto"/>
        </w:rPr>
      </w:pPr>
    </w:p>
    <w:p>
      <w:pPr>
        <w:ind w:left="460" w:right="459"/>
        <w:spacing w:after="0" w:line="251" w:lineRule="auto"/>
        <w:rPr>
          <w:sz w:val="20"/>
          <w:szCs w:val="20"/>
          <w:color w:val="auto"/>
        </w:rPr>
      </w:pPr>
      <w:r>
        <w:rPr>
          <w:rFonts w:ascii="Arial" w:cs="Arial" w:eastAsia="Arial" w:hAnsi="Arial"/>
          <w:sz w:val="17"/>
          <w:szCs w:val="17"/>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9" w:lineRule="exact"/>
        <w:rPr>
          <w:sz w:val="20"/>
          <w:szCs w:val="20"/>
          <w:color w:val="auto"/>
        </w:rPr>
      </w:pPr>
    </w:p>
    <w:p>
      <w:pPr>
        <w:ind w:left="1040" w:hanging="262"/>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 w:lineRule="exact"/>
        <w:rPr>
          <w:rFonts w:ascii="Arial" w:cs="Arial" w:eastAsia="Arial" w:hAnsi="Arial"/>
          <w:sz w:val="18"/>
          <w:szCs w:val="18"/>
          <w:color w:val="auto"/>
        </w:rPr>
      </w:pPr>
    </w:p>
    <w:p>
      <w:pPr>
        <w:ind w:left="1100" w:right="999" w:hanging="322"/>
        <w:spacing w:after="0" w:line="246" w:lineRule="auto"/>
        <w:tabs>
          <w:tab w:leader="none" w:pos="1039"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52" w:name="page53"/>
    <w:bookmarkEnd w:id="52"/>
    <w:p>
      <w:pPr>
        <w:jc w:val="both"/>
        <w:ind w:left="460" w:right="719"/>
        <w:spacing w:after="0"/>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1" w:lineRule="exact"/>
        <w:rPr>
          <w:sz w:val="20"/>
          <w:szCs w:val="20"/>
          <w:color w:val="auto"/>
        </w:rPr>
      </w:pPr>
    </w:p>
    <w:p>
      <w:pPr>
        <w:ind w:left="460" w:right="519"/>
        <w:spacing w:after="0" w:line="275"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9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85"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123"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In pursuing our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80" w:lineRule="exact"/>
        <w:rPr>
          <w:sz w:val="20"/>
          <w:szCs w:val="20"/>
          <w:color w:val="auto"/>
        </w:rPr>
      </w:pPr>
    </w:p>
    <w:p>
      <w:pPr>
        <w:ind w:left="460" w:right="839"/>
        <w:spacing w:after="0" w:line="247" w:lineRule="auto"/>
        <w:rPr>
          <w:sz w:val="20"/>
          <w:szCs w:val="20"/>
          <w:color w:val="auto"/>
        </w:rPr>
      </w:pPr>
      <w:r>
        <w:rPr>
          <w:rFonts w:ascii="Arial" w:cs="Arial" w:eastAsia="Arial" w:hAnsi="Arial"/>
          <w:sz w:val="18"/>
          <w:szCs w:val="18"/>
          <w:b w:val="1"/>
          <w:bCs w:val="1"/>
          <w:color w:val="auto"/>
        </w:rPr>
        <w:t>Our management may not maintain control of a target business after our initial business combination. We cannot provide assurance that, upon loss of control of a target business, new management will possess the skills, qualifications or abilities necessary to profitably operate such business.</w:t>
      </w:r>
    </w:p>
    <w:p>
      <w:pPr>
        <w:spacing w:after="0" w:line="12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may structure our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shares of Class A common stock in exchange for all of the outstanding capital stock of a target. In this case, we would acquire a 100% interest in the target. However, as a result of the issuance of a substantial number of new shares of Class A common stock, our stockholders immediately prior to such transaction could own less than a majority of our outstanding Class A common stock subsequent to such transaction. In addition, other minority stockholders may subsequently combine their holdings resulting in a single person or group obtaining a larger share of the company’s shares than we initially acquired. Accordingly, this may make it more likely that our management will not maintain control of the target business.</w:t>
      </w:r>
    </w:p>
    <w:p>
      <w:pPr>
        <w:spacing w:after="0" w:line="191" w:lineRule="exact"/>
        <w:rPr>
          <w:sz w:val="20"/>
          <w:szCs w:val="20"/>
          <w:color w:val="auto"/>
        </w:rPr>
      </w:pPr>
    </w:p>
    <w:p>
      <w:pPr>
        <w:ind w:left="460" w:right="659"/>
        <w:spacing w:after="0" w:line="247"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stockholders or warrant holders do not agree.</w:t>
      </w:r>
    </w:p>
    <w:p>
      <w:pPr>
        <w:spacing w:after="0" w:line="115"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does not provide a specified maximum redemption threshold, except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3" w:name="page54"/>
    <w:bookmarkEnd w:id="53"/>
    <w:p>
      <w:pPr>
        <w:ind w:left="460" w:right="499"/>
        <w:spacing w:after="0" w:line="236" w:lineRule="auto"/>
        <w:rPr>
          <w:sz w:val="20"/>
          <w:szCs w:val="20"/>
          <w:color w:val="auto"/>
        </w:rPr>
      </w:pPr>
      <w:r>
        <w:rPr>
          <w:rFonts w:ascii="Arial" w:cs="Arial" w:eastAsia="Arial" w:hAnsi="Arial"/>
          <w:sz w:val="18"/>
          <w:szCs w:val="18"/>
          <w:color w:val="auto"/>
        </w:rPr>
        <w:t>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Class A common stock that are validly submitted for redemption plus any amount required to satisfy cash conditions pursuant to the terms of the proposed business combination exceed the aggregate amount of cash available to us, we will not complete the business combination or redeem any shares in connection with such initial business combination, all shares of Class A common stock submitted for redemption will be returned to the holders thereof, and we instead may search for an alternate business combination.</w:t>
      </w:r>
    </w:p>
    <w:p>
      <w:pPr>
        <w:spacing w:after="0" w:line="182" w:lineRule="exact"/>
        <w:rPr>
          <w:sz w:val="20"/>
          <w:szCs w:val="20"/>
          <w:color w:val="auto"/>
        </w:rPr>
      </w:pPr>
    </w:p>
    <w:p>
      <w:pPr>
        <w:ind w:left="460" w:right="539"/>
        <w:spacing w:after="0" w:line="242" w:lineRule="auto"/>
        <w:rPr>
          <w:sz w:val="20"/>
          <w:szCs w:val="20"/>
          <w:color w:val="auto"/>
        </w:rPr>
      </w:pPr>
      <w:r>
        <w:rPr>
          <w:rFonts w:ascii="Arial" w:cs="Arial" w:eastAsia="Arial" w:hAnsi="Arial"/>
          <w:sz w:val="18"/>
          <w:szCs w:val="18"/>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20"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65% of our common stock,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number of the then outstanding private placement warrants. In addition, our amended and restated certificate of incorporation requires us to provide our public stockholders with the opportunity to redeem their public shares for cash if we propose an amendment to our amended and restated certificate of incorporation to modify the substance or timing of our obligation to redeem 100% of our public shares if we do not complete an initial business combination within 24 months of the closing of this offering or with respect to any other material provisions relating to stockholders’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190" w:lineRule="exact"/>
        <w:rPr>
          <w:sz w:val="20"/>
          <w:szCs w:val="20"/>
          <w:color w:val="auto"/>
        </w:rPr>
      </w:pPr>
    </w:p>
    <w:p>
      <w:pPr>
        <w:ind w:left="460" w:right="539"/>
        <w:spacing w:after="0"/>
        <w:rPr>
          <w:sz w:val="20"/>
          <w:szCs w:val="20"/>
          <w:color w:val="auto"/>
        </w:rPr>
      </w:pPr>
      <w:r>
        <w:rPr>
          <w:rFonts w:ascii="Arial" w:cs="Arial" w:eastAsia="Arial" w:hAnsi="Arial"/>
          <w:sz w:val="18"/>
          <w:szCs w:val="18"/>
          <w:b w:val="1"/>
          <w:bCs w:val="1"/>
          <w:color w:val="auto"/>
        </w:rPr>
        <w:t>The provisions of our amended and restated certificate of incorporation that relate to our pre-business combination activity (and corresponding provisions of the agreement governing the release of funds from our trust account) may be amended with the approval of holders of 65% of our common stock, which is a lower amendment threshold than that of some other special purpose acquisition companies. It may be easier for us, therefore, to amend our amended and restated certificate of incorporation to facilitate the completion of an initial business combination that some of our stockholders may not support.</w:t>
      </w:r>
    </w:p>
    <w:p>
      <w:pPr>
        <w:spacing w:after="0" w:line="126" w:lineRule="exact"/>
        <w:rPr>
          <w:sz w:val="20"/>
          <w:szCs w:val="20"/>
          <w:color w:val="auto"/>
        </w:rPr>
      </w:pPr>
    </w:p>
    <w:p>
      <w:pPr>
        <w:ind w:left="460" w:right="479"/>
        <w:spacing w:after="0" w:line="250" w:lineRule="auto"/>
        <w:rPr>
          <w:sz w:val="20"/>
          <w:szCs w:val="20"/>
          <w:color w:val="auto"/>
        </w:rPr>
      </w:pPr>
      <w:r>
        <w:rPr>
          <w:rFonts w:ascii="Arial" w:cs="Arial" w:eastAsia="Arial" w:hAnsi="Arial"/>
          <w:sz w:val="17"/>
          <w:szCs w:val="17"/>
          <w:color w:val="auto"/>
        </w:rPr>
        <w:t>Our amended and restated certificate of incorporation provides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stockholders as described herein) may be amended if approved by holders of 65% of our common stock entitled to vote thereon and corresponding provisions of the trust agreement governing the release of funds from our trust account may be amended if approved by holders of 65% of our common stock entitled to vote thereon. In all other instances, our amended and restated certificate of incorporation may be amended by holders of a majority of our outstanding common stock entitled to vote thereon, subject to applicable provisions of the DGCL or applicable stock exchange rules. Our initial stockholders, who will collectively beneficially own 20% of our common stock upon the closing of this offering (assuming they do not purchase any units in this offering), may participate in any vote to amend our amended and restated certificate of incorporation and/or trust agreement and will have the discretion to vote in any manner they choose. As a result, we may be able to amend the provisions of our amended</w:t>
      </w:r>
    </w:p>
    <w:p>
      <w:pPr>
        <w:sectPr>
          <w:pgSz w:w="11900" w:h="16838" w:orient="portrait"/>
          <w:cols w:equalWidth="0" w:num="1">
            <w:col w:w="9019"/>
          </w:cols>
          <w:pgMar w:left="1440" w:top="287" w:right="1440"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54" w:name="page55"/>
    <w:bookmarkEnd w:id="54"/>
    <w:p>
      <w:pPr>
        <w:ind w:left="460" w:right="739"/>
        <w:spacing w:after="0" w:line="257" w:lineRule="auto"/>
        <w:rPr>
          <w:sz w:val="20"/>
          <w:szCs w:val="20"/>
          <w:color w:val="auto"/>
        </w:rPr>
      </w:pPr>
      <w:r>
        <w:rPr>
          <w:rFonts w:ascii="Arial" w:cs="Arial" w:eastAsia="Arial" w:hAnsi="Arial"/>
          <w:sz w:val="17"/>
          <w:szCs w:val="17"/>
          <w:color w:val="auto"/>
        </w:rPr>
        <w:t>and restated certificate of incorporation which govern our pre-business combination behavior more easily than some other special purpose acquisition companies, and this may increase our ability to complete a business combination with which you do not agree. Our stockholders may pursue remedies against us for any breach of our amended and restated certificate of incorporation.</w:t>
      </w:r>
    </w:p>
    <w:p>
      <w:pPr>
        <w:spacing w:after="0" w:line="10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sponsor, executive officers, directors and director nominees have agreed, pursuant to written agreements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Class A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stockholders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stockholders would need to pursue a stockholder derivative action, subject to applicable law.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agreements related to this offering may be amended without stockholder approval.</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Each of the agreements related to this offering to which we are a party, other than the warrant agreement and the investment management trust agreement, may be amended without stockholder approval. Such agreements are: the underwriting agreement; the letter agreement among us and our initial stockholders, sponsor, officers and directors; the registration rights agreement among us and our initial stockholders; the private placement warrants purchase agreement between us and our sponsor; and the administrative services agreement among us, our sponsor and an affiliate of our sponsor. These agreements contain various provisions that our public stockholders might deem to be material. For example, our letter agreement and the underwriting agreement contain certain lock-up provisions with respect to the founder shares, private placement warrants and other securities held by our initial stockholders, sponsor, officers and directors. Amendments to such agreements would require the consent of the applicable parties thereto and would need to be approved by our board of directors, which may do so for a variety of reasons, including to facilitate our initial business combination. While we do not expect our board of directors to approve any amendment to any of these agreements prior to our initial business combination, it may be possible that our board of directors, in exercising its business judgment and subject to its fiduciary duties, chooses to approve one or more amendments to any such agreement. Any amendment entered into in connection with the consummation of our initial business combination will be disclosed in our proxy materials or tender offer documents, as applicable, related to such initial business combination, and any other material amendment to any of our material agreements will be disclosed in a filing with the SEC. Any such amendments would not require approval from our stockholders, may result in the completion of our initial business combination that may not otherwise have been possible, and may have an adverse effect on the value of an investment in our securities. For example, amendments to the lock-up provision discussed above may result in our initial stockholders selling their securities earlier than they would otherwise be permitted, which may have an adverse effect on the price of our securities.</w:t>
      </w:r>
    </w:p>
    <w:p>
      <w:pPr>
        <w:spacing w:after="0" w:line="190" w:lineRule="exact"/>
        <w:rPr>
          <w:sz w:val="20"/>
          <w:szCs w:val="20"/>
          <w:color w:val="auto"/>
        </w:rPr>
      </w:pPr>
    </w:p>
    <w:p>
      <w:pPr>
        <w:ind w:left="460" w:right="579"/>
        <w:spacing w:after="0" w:line="253" w:lineRule="auto"/>
        <w:rPr>
          <w:sz w:val="20"/>
          <w:szCs w:val="20"/>
          <w:color w:val="auto"/>
        </w:rPr>
      </w:pPr>
      <w:r>
        <w:rPr>
          <w:rFonts w:ascii="Arial" w:cs="Arial" w:eastAsia="Arial" w:hAnsi="Arial"/>
          <w:sz w:val="18"/>
          <w:szCs w:val="18"/>
          <w:b w:val="1"/>
          <w:b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9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have not selected any specific business combination target but intend to target businesses with enterprise values that are greater than we could acquire with the net proceeds of this offering and the sale of the private placement warrants. As a result, if the cash portion of the purchase price exceeds the amount available from the trust account, net of amounts needed to satisfy any redemption by public stockholders,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our initial business combination for general corporate purposes, including for maintenance or expansion of operations of the post-transaction businesses, the payment of principal or interest due on indebtedness incurred in completing our initial business combination, or to fund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55" w:name="page56"/>
    <w:bookmarkEnd w:id="55"/>
    <w:p>
      <w:pPr>
        <w:ind w:left="460" w:right="479"/>
        <w:spacing w:after="0" w:line="236" w:lineRule="auto"/>
        <w:rPr>
          <w:sz w:val="20"/>
          <w:szCs w:val="20"/>
          <w:color w:val="auto"/>
        </w:rPr>
      </w:pPr>
      <w:r>
        <w:rPr>
          <w:rFonts w:ascii="Arial" w:cs="Arial" w:eastAsia="Arial" w:hAnsi="Arial"/>
          <w:sz w:val="18"/>
          <w:szCs w:val="18"/>
          <w:color w:val="auto"/>
        </w:rPr>
        <w:t>purchase of other companies. If we are unable to complete our initial business combination within the required time period, our public stockholders may only receive their pro rata portion of the funds in the trust account that are available for distribution to public stockholders,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w:t>
      </w:r>
    </w:p>
    <w:p>
      <w:pPr>
        <w:spacing w:after="0" w:line="186" w:lineRule="exact"/>
        <w:rPr>
          <w:sz w:val="20"/>
          <w:szCs w:val="20"/>
          <w:color w:val="auto"/>
        </w:rPr>
      </w:pPr>
    </w:p>
    <w:p>
      <w:pPr>
        <w:ind w:left="460" w:right="739"/>
        <w:spacing w:after="0" w:line="253" w:lineRule="auto"/>
        <w:rPr>
          <w:sz w:val="20"/>
          <w:szCs w:val="20"/>
          <w:color w:val="auto"/>
        </w:rPr>
      </w:pPr>
      <w:r>
        <w:rPr>
          <w:rFonts w:ascii="Arial" w:cs="Arial" w:eastAsia="Arial" w:hAnsi="Arial"/>
          <w:sz w:val="18"/>
          <w:szCs w:val="18"/>
          <w:b w:val="1"/>
          <w:bCs w:val="1"/>
          <w:color w:val="auto"/>
        </w:rPr>
        <w:t>Our initial stockholders control a substantial interest in us and thus may exert a substantial influence on actions requiring a stockholder vote, potentially in a manner that you do not support.</w:t>
      </w:r>
    </w:p>
    <w:p>
      <w:pPr>
        <w:spacing w:after="0" w:line="12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Upon closing of this offering, our initial stockholders will own 20% of our issued and outstanding common stock (assuming they do not purchase any units in this offering). Accordingly, they may exert a substantial influence on actions requiring a stockholder vote, potentially in a manner that you do not support, including amendments to our amended and restated certificate of incorporation. If our initial stockholders purchase any units in this offering or if our initial stockholders purchase any additional Class A common stock in the aftermarket or in privately negotiated transactions, this would increase their control.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common stock.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 election and our initial stockholders, because of their ownership position, will have considerable influence regarding the outcome. Accordingly, our initial stockholders will continue to exert control at least until the completion of our initial business combination.</w:t>
      </w:r>
    </w:p>
    <w:p>
      <w:pPr>
        <w:spacing w:after="0" w:line="191" w:lineRule="exact"/>
        <w:rPr>
          <w:sz w:val="20"/>
          <w:szCs w:val="20"/>
          <w:color w:val="auto"/>
        </w:rPr>
      </w:pPr>
    </w:p>
    <w:p>
      <w:pPr>
        <w:ind w:left="460" w:right="639"/>
        <w:spacing w:after="0" w:line="247" w:lineRule="auto"/>
        <w:rPr>
          <w:sz w:val="20"/>
          <w:szCs w:val="20"/>
          <w:color w:val="auto"/>
        </w:rPr>
      </w:pPr>
      <w:r>
        <w:rPr>
          <w:rFonts w:ascii="Arial" w:cs="Arial" w:eastAsia="Arial" w:hAnsi="Arial"/>
          <w:sz w:val="18"/>
          <w:szCs w:val="18"/>
          <w:b w:val="1"/>
          <w:bCs w:val="1"/>
          <w:color w:val="auto"/>
        </w:rPr>
        <w:t>Our initial stockholders paid an aggregate of $25,000 to cover certain of our offering costs in exchange for 2,875,000 founder shares, or approximately $0.009 per founder share and, accordingly, you will experience immediate and substantial dilution from the purchase of our shares of Class A common stock.</w:t>
      </w:r>
    </w:p>
    <w:p>
      <w:pPr>
        <w:spacing w:after="0" w:line="128" w:lineRule="exact"/>
        <w:rPr>
          <w:sz w:val="20"/>
          <w:szCs w:val="20"/>
          <w:color w:val="auto"/>
        </w:rPr>
      </w:pPr>
    </w:p>
    <w:p>
      <w:pPr>
        <w:ind w:left="460" w:right="559"/>
        <w:spacing w:after="0" w:line="235" w:lineRule="auto"/>
        <w:rPr>
          <w:sz w:val="20"/>
          <w:szCs w:val="20"/>
          <w:color w:val="auto"/>
        </w:rPr>
      </w:pPr>
      <w:r>
        <w:rPr>
          <w:rFonts w:ascii="Arial" w:cs="Arial" w:eastAsia="Arial" w:hAnsi="Arial"/>
          <w:sz w:val="18"/>
          <w:szCs w:val="18"/>
          <w:color w:val="auto"/>
        </w:rPr>
        <w:t>The difference between the public offering price per share (allocating all of the unit purchase price to the share of Class A common stock and none to the warrant included in the unit) and the pro forma net tangible book value per share of our Class A common stock after this offering constitutes the dilution to you and the other investors in this offering. Our initial stockholders acquired the founder shares at a nominal price, significantly contributing to this dilution. Upon closing of this offering, and assuming no value is ascribed to the warrants included in the units, you and the other public stockholders will incur an immediate and substantial dilution of approximately 84.6% or $8.46 per share, assuming no exercise of the underwriters’ over-allotment option), the difference between the pro forma net tangible book value per share after this offering of $ 1.54 and the initial offering price of $10.00 per unit. This dilution would increase to the extent that the anti-dilution provisions of the founder shares result in the issuance of shares of Class A common stock on a greater than one-to-one basis upon conversion of the founder shares at the time of our initial business combination and would become exacerbated to the extent that public stockholders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common stock.</w:t>
      </w:r>
    </w:p>
    <w:p>
      <w:pPr>
        <w:spacing w:after="0" w:line="191" w:lineRule="exact"/>
        <w:rPr>
          <w:sz w:val="20"/>
          <w:szCs w:val="20"/>
          <w:color w:val="auto"/>
        </w:rPr>
      </w:pPr>
    </w:p>
    <w:p>
      <w:pPr>
        <w:ind w:left="460" w:right="499"/>
        <w:spacing w:after="0" w:line="244"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shares of Class A common stock purchasable upon exercise of a warrant could be decreased, all without your approval.</w:t>
      </w:r>
    </w:p>
    <w:p>
      <w:pPr>
        <w:spacing w:after="0" w:line="117"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for the purpose of (i) curing any ambiguity or to correct any defective provision or</w:t>
      </w:r>
    </w:p>
    <w:p>
      <w:pPr>
        <w:sectPr>
          <w:pgSz w:w="11900" w:h="16838" w:orient="portrait"/>
          <w:cols w:equalWidth="0" w:num="1">
            <w:col w:w="9019"/>
          </w:cols>
          <w:pgMar w:left="1440" w:top="260"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56" w:name="page57"/>
    <w:bookmarkEnd w:id="56"/>
    <w:p>
      <w:pPr>
        <w:ind w:left="460" w:right="479"/>
        <w:spacing w:after="0" w:line="235" w:lineRule="auto"/>
        <w:rPr>
          <w:sz w:val="20"/>
          <w:szCs w:val="20"/>
          <w:color w:val="auto"/>
        </w:rPr>
      </w:pPr>
      <w:r>
        <w:rPr>
          <w:rFonts w:ascii="Arial" w:cs="Arial" w:eastAsia="Arial" w:hAnsi="Arial"/>
          <w:sz w:val="18"/>
          <w:szCs w:val="18"/>
          <w:color w:val="auto"/>
        </w:rPr>
        <w:t>mistake, including to conform the provisions of the warrant agreement to the description of the terms of the warrants and the warrant agreement set forth in this prospectus, (ii) adjusting the provisions relating to cash dividends on shares of common stock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 outstanding public warrants is required to make any change that adversely affects the interests of the registered holders of the public warrants. Accordingly, we may amend the terms of the public warrants in a manner adverse to a holder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Class A common stock purchasable upon exercise of a warrant.</w:t>
      </w:r>
    </w:p>
    <w:p>
      <w:pPr>
        <w:spacing w:after="0" w:line="191" w:lineRule="exact"/>
        <w:rPr>
          <w:sz w:val="20"/>
          <w:szCs w:val="20"/>
          <w:color w:val="auto"/>
        </w:rPr>
      </w:pPr>
    </w:p>
    <w:p>
      <w:pPr>
        <w:ind w:left="460" w:right="519"/>
        <w:spacing w:after="0" w:line="244" w:lineRule="auto"/>
        <w:rPr>
          <w:sz w:val="20"/>
          <w:szCs w:val="20"/>
          <w:color w:val="auto"/>
        </w:rPr>
      </w:pPr>
      <w:r>
        <w:rPr>
          <w:rFonts w:ascii="Arial" w:cs="Arial" w:eastAsia="Arial" w:hAnsi="Arial"/>
          <w:sz w:val="18"/>
          <w:szCs w:val="18"/>
          <w:b w:val="1"/>
          <w:b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17" w:lineRule="exact"/>
        <w:rPr>
          <w:sz w:val="20"/>
          <w:szCs w:val="20"/>
          <w:color w:val="auto"/>
        </w:rPr>
      </w:pPr>
    </w:p>
    <w:p>
      <w:pPr>
        <w:ind w:left="460" w:right="579"/>
        <w:spacing w:after="0" w:line="234"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w:t>
      </w:r>
    </w:p>
    <w:p>
      <w:pPr>
        <w:spacing w:after="0" w:line="2" w:lineRule="exact"/>
        <w:rPr>
          <w:sz w:val="20"/>
          <w:szCs w:val="20"/>
          <w:color w:val="auto"/>
        </w:rPr>
      </w:pPr>
    </w:p>
    <w:p>
      <w:pPr>
        <w:ind w:left="460" w:right="459"/>
        <w:spacing w:after="0" w:line="238" w:lineRule="auto"/>
        <w:rPr>
          <w:sz w:val="20"/>
          <w:szCs w:val="20"/>
          <w:color w:val="auto"/>
        </w:rPr>
      </w:pPr>
      <w:r>
        <w:rPr>
          <w:rFonts w:ascii="Arial" w:cs="Arial" w:eastAsia="Arial" w:hAnsi="Arial"/>
          <w:sz w:val="18"/>
          <w:szCs w:val="18"/>
          <w:color w:val="auto"/>
        </w:rPr>
        <w:t>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181" w:lineRule="exact"/>
        <w:rPr>
          <w:sz w:val="20"/>
          <w:szCs w:val="20"/>
          <w:color w:val="auto"/>
        </w:rPr>
      </w:pPr>
    </w:p>
    <w:p>
      <w:pPr>
        <w:ind w:left="460" w:right="1799"/>
        <w:spacing w:after="0" w:line="271"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68"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the ability to redeem the outstanding public warrants at any time after they become exercisable and prior to their expiration, at a price of $0.01 per warrant, provided that the closing price of our Class A common stock equals or exceeds $18.00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 trading-day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As a result, we may redeem the warrants as set</w:t>
      </w:r>
    </w:p>
    <w:p>
      <w:pPr>
        <w:sectPr>
          <w:pgSz w:w="11900" w:h="16838" w:orient="portrait"/>
          <w:cols w:equalWidth="0" w:num="1">
            <w:col w:w="9019"/>
          </w:cols>
          <w:pgMar w:left="1440" w:top="287" w:right="1440" w:bottom="144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57" w:name="page58"/>
    <w:bookmarkEnd w:id="57"/>
    <w:p>
      <w:pPr>
        <w:ind w:left="460" w:right="539"/>
        <w:spacing w:after="0" w:line="236" w:lineRule="auto"/>
        <w:rPr>
          <w:sz w:val="20"/>
          <w:szCs w:val="20"/>
          <w:color w:val="auto"/>
        </w:rPr>
      </w:pPr>
      <w:r>
        <w:rPr>
          <w:rFonts w:ascii="Arial" w:cs="Arial" w:eastAsia="Arial" w:hAnsi="Arial"/>
          <w:sz w:val="18"/>
          <w:szCs w:val="18"/>
          <w:color w:val="auto"/>
        </w:rPr>
        <w:t>forth above even if the holders are otherwise unable to exercise the warrants.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we expect would be substantially less than the market value of your warrants. None of the private placement warrants will be redeemable by us so long as they are held by our sponsor or its permitted transferees.</w:t>
      </w:r>
    </w:p>
    <w:p>
      <w:pPr>
        <w:spacing w:after="0" w:line="100"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our Class A common stock equals or exceeds $ 10.00 per share (as adjusted for adjustments to the number of shares issuable upon exercise or the exercise price of a warrant as described under the heading “Description of Securities — Warrants — Public Stockholders’ Warrants — Anti-Dilution Adjustments”) for any 20 trading days within a 30 trading-day period ending on the third trading day prior to proper notice of such redemption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certain other conditions are met, including that (i) 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“Description of Securities — Warrants — Public Shareholders’ Warrants — Anti-dilution Adjustments”), the private placement warrants must also be concurrently called for redemption on the same terms as the outstanding public warrants and</w:t>
      </w:r>
    </w:p>
    <w:p>
      <w:pPr>
        <w:spacing w:after="0" w:line="7" w:lineRule="exact"/>
        <w:rPr>
          <w:sz w:val="20"/>
          <w:szCs w:val="20"/>
          <w:color w:val="auto"/>
        </w:rPr>
      </w:pPr>
    </w:p>
    <w:p>
      <w:pPr>
        <w:ind w:left="460" w:right="499" w:hanging="6"/>
        <w:spacing w:after="0"/>
        <w:tabs>
          <w:tab w:leader="none" w:pos="71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holders will be able to exercise their warrants prior to redemption for a number of shares of Class A common stock determined based on the redemption date and the fair market value of our Class A common stock. Please see “Description of Securities — Warrants — Public Stockholders’ Warrants — Redemption of warrants when the price per share of Class A common stock equals or exceeds $10.00.” The value received upon exercise of the warrants (i) may be less than the value the holders would have received if they had exercised their warrants at a later time where the underlying share price is higher and (ii) may not compensate the holders for the value of the warrants, including because the number of shares of Class A common stock received is capped at 0.361 shares of Class A common stock per warrant (subject to adjustment) irrespective of the remaining life of the warrants.</w:t>
      </w:r>
    </w:p>
    <w:p>
      <w:pPr>
        <w:spacing w:after="0" w:line="270" w:lineRule="exact"/>
        <w:rPr>
          <w:sz w:val="20"/>
          <w:szCs w:val="20"/>
          <w:color w:val="auto"/>
        </w:rPr>
      </w:pPr>
    </w:p>
    <w:p>
      <w:pPr>
        <w:ind w:left="460" w:right="639"/>
        <w:spacing w:after="0" w:line="246" w:lineRule="auto"/>
        <w:rPr>
          <w:sz w:val="20"/>
          <w:szCs w:val="20"/>
          <w:color w:val="auto"/>
        </w:rPr>
      </w:pPr>
      <w:r>
        <w:rPr>
          <w:rFonts w:ascii="Arial" w:cs="Arial" w:eastAsia="Arial" w:hAnsi="Arial"/>
          <w:sz w:val="18"/>
          <w:szCs w:val="18"/>
          <w:color w:val="auto"/>
        </w:rPr>
        <w:t>None of the private placement warrants will be redeemable by us as so long as they are held by our sponsor or its permitted transferees.</w:t>
      </w:r>
    </w:p>
    <w:p>
      <w:pPr>
        <w:spacing w:after="0" w:line="67" w:lineRule="exact"/>
        <w:rPr>
          <w:sz w:val="20"/>
          <w:szCs w:val="20"/>
          <w:color w:val="auto"/>
        </w:rPr>
      </w:pPr>
    </w:p>
    <w:p>
      <w:pPr>
        <w:ind w:left="460" w:right="1079"/>
        <w:spacing w:after="0" w:line="301" w:lineRule="auto"/>
        <w:rPr>
          <w:sz w:val="20"/>
          <w:szCs w:val="20"/>
          <w:color w:val="auto"/>
        </w:rPr>
      </w:pPr>
      <w:r>
        <w:rPr>
          <w:rFonts w:ascii="Arial" w:cs="Arial" w:eastAsia="Arial" w:hAnsi="Arial"/>
          <w:sz w:val="17"/>
          <w:szCs w:val="17"/>
          <w:b w:val="1"/>
          <w:bCs w:val="1"/>
          <w:color w:val="auto"/>
        </w:rPr>
        <w:t>Our warrants may have an adverse effect on the market price of our shares of Class A common stock and make it more difficult to effectuate our initial business combination.</w:t>
      </w:r>
    </w:p>
    <w:p>
      <w:pPr>
        <w:spacing w:after="0" w:line="45"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We will be issuing warrants to purchase 6,666,667 shares of our Class A common stock (or up to 7,666,667 shares of Class A common stock if the underwriters’ over-allotment option is exercised in full) as part of the units offered by this prospectus and, simultaneously with the closing of this offering, we will be issuing in a private placement an aggregate of 2,666,667 private placement warrants (or 2,866,667 warrants if the underwriters’ over-allotment option is exercised in full), each exercisable to purchase one share of Class A common stock at $11.50 per share. In addition, if our sponsor or an affiliate of our sponsor or certain of our officers and directors makes any working capital loans, such lender may convert those loans into up to an additional 1,500,000 private placement warrants, at the price of $1.50 per warrant. To the extent we issue common stock to effectuate a business transaction, the potential for the issuance of a substantial number of additional shares of Class A common stock upon exercise of these warrants could make us a less attractive acquisition vehicle to a target business. Such warrants, when exercised, will increase the number of issued and outstanding shares of Class A common stock and reduce the value of the Class A common stock issued to complete the business transaction. Therefore, our warrants may make it more difficult to effectuate a business transaction or increase the cost of acquiring the target business.</w:t>
      </w:r>
    </w:p>
    <w:p>
      <w:pPr>
        <w:spacing w:after="0" w:line="177" w:lineRule="exact"/>
        <w:rPr>
          <w:sz w:val="20"/>
          <w:szCs w:val="20"/>
          <w:color w:val="auto"/>
        </w:rPr>
      </w:pPr>
    </w:p>
    <w:p>
      <w:pPr>
        <w:jc w:val="both"/>
        <w:ind w:left="460" w:right="1199"/>
        <w:spacing w:after="0" w:line="253" w:lineRule="auto"/>
        <w:rPr>
          <w:sz w:val="20"/>
          <w:szCs w:val="20"/>
          <w:color w:val="auto"/>
        </w:rPr>
      </w:pPr>
      <w:r>
        <w:rPr>
          <w:rFonts w:ascii="Arial" w:cs="Arial" w:eastAsia="Arial" w:hAnsi="Arial"/>
          <w:sz w:val="18"/>
          <w:szCs w:val="18"/>
          <w:b w:val="1"/>
          <w:bCs w:val="1"/>
          <w:color w:val="auto"/>
        </w:rPr>
        <w:t>Because each unit contains one-third of one warrant and only a whole warrant may be exercised, the units may be worth less than units of other special purpose acquisition companies.</w:t>
      </w:r>
    </w:p>
    <w:p>
      <w:pPr>
        <w:spacing w:after="0" w:line="12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Each unit contains one-third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shares of Class A common stock to be issued to the warrant holder. This is different from other offerings similar to ours whose units include one common share and one warrant to purchase one whole share. We have established the components of the units in this way in order to reduce the dilutive effect of the warrants upon completion of a business combination since the warrants will be exercisable in the aggregate for one-third of the</w:t>
      </w:r>
    </w:p>
    <w:p>
      <w:pPr>
        <w:sectPr>
          <w:pgSz w:w="11900" w:h="16838" w:orient="portrait"/>
          <w:cols w:equalWidth="0" w:num="1">
            <w:col w:w="9019"/>
          </w:cols>
          <w:pgMar w:left="1440" w:top="247"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type w:val="continuous"/>
        </w:sectPr>
      </w:pPr>
    </w:p>
    <w:bookmarkStart w:id="58" w:name="page59"/>
    <w:bookmarkEnd w:id="58"/>
    <w:p>
      <w:pPr>
        <w:ind w:left="460" w:right="519"/>
        <w:spacing w:after="0" w:line="238" w:lineRule="auto"/>
        <w:rPr>
          <w:sz w:val="20"/>
          <w:szCs w:val="20"/>
          <w:color w:val="auto"/>
        </w:rPr>
      </w:pPr>
      <w:r>
        <w:rPr>
          <w:rFonts w:ascii="Arial" w:cs="Arial" w:eastAsia="Arial" w:hAnsi="Arial"/>
          <w:sz w:val="18"/>
          <w:szCs w:val="18"/>
          <w:color w:val="auto"/>
        </w:rPr>
        <w:t>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83" w:lineRule="exact"/>
        <w:rPr>
          <w:sz w:val="20"/>
          <w:szCs w:val="20"/>
          <w:color w:val="auto"/>
        </w:rPr>
      </w:pPr>
    </w:p>
    <w:p>
      <w:pPr>
        <w:ind w:left="460" w:right="699"/>
        <w:spacing w:after="0" w:line="244" w:lineRule="auto"/>
        <w:rPr>
          <w:sz w:val="20"/>
          <w:szCs w:val="20"/>
          <w:color w:val="auto"/>
        </w:rPr>
      </w:pPr>
      <w:r>
        <w:rPr>
          <w:rFonts w:ascii="Arial" w:cs="Arial" w:eastAsia="Arial" w:hAnsi="Arial"/>
          <w:sz w:val="18"/>
          <w:szCs w:val="18"/>
          <w:b w:val="1"/>
          <w:bCs w:val="1"/>
          <w:color w:val="auto"/>
        </w:rPr>
        <w:t>The determination of the offering price of our units, the size of this offering and terms of the units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17"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Class A common stock and warrants underlying the units, include:</w:t>
      </w:r>
    </w:p>
    <w:p>
      <w:pPr>
        <w:spacing w:after="0" w:line="27" w:lineRule="exact"/>
        <w:rPr>
          <w:sz w:val="20"/>
          <w:szCs w:val="20"/>
          <w:color w:val="auto"/>
        </w:rPr>
      </w:pPr>
    </w:p>
    <w:p>
      <w:pPr>
        <w:ind w:left="1100" w:right="759" w:hanging="322"/>
        <w:spacing w:after="0" w:line="246" w:lineRule="auto"/>
        <w:tabs>
          <w:tab w:leader="none" w:pos="10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31"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Although these factors were considered, the determination of our offering size, price and terms of the units is more arbitrary than the pricing of securities of an operating company in a particular industry since we have no historical operations or financial results.</w:t>
      </w:r>
    </w:p>
    <w:p>
      <w:pPr>
        <w:spacing w:after="0" w:line="181" w:lineRule="exact"/>
        <w:rPr>
          <w:sz w:val="20"/>
          <w:szCs w:val="20"/>
          <w:color w:val="auto"/>
        </w:rPr>
      </w:pPr>
    </w:p>
    <w:p>
      <w:pPr>
        <w:ind w:left="460" w:right="1199"/>
        <w:spacing w:after="0" w:line="271"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108"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and other events (such as terrorist attacks, natural disasters or a significant outbreak of other infectious diseases). Furthermore, an active trading market for our securities may never develop or, if developed, it may not be sustained. You may be unable to sell your securities unless a market can be established and sustained.</w:t>
      </w:r>
    </w:p>
    <w:p>
      <w:pPr>
        <w:spacing w:after="0" w:line="186" w:lineRule="exact"/>
        <w:rPr>
          <w:sz w:val="20"/>
          <w:szCs w:val="20"/>
          <w:color w:val="auto"/>
        </w:rPr>
      </w:pPr>
    </w:p>
    <w:p>
      <w:pPr>
        <w:ind w:left="460" w:right="559"/>
        <w:spacing w:after="0" w:line="253" w:lineRule="auto"/>
        <w:rPr>
          <w:sz w:val="20"/>
          <w:szCs w:val="20"/>
          <w:color w:val="auto"/>
        </w:rPr>
      </w:pPr>
      <w:r>
        <w:rPr>
          <w:rFonts w:ascii="Arial" w:cs="Arial" w:eastAsia="Arial" w:hAnsi="Arial"/>
          <w:sz w:val="18"/>
          <w:szCs w:val="18"/>
          <w:b w:val="1"/>
          <w:b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23"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59" w:name="page60"/>
    <w:bookmarkEnd w:id="59"/>
    <w:p>
      <w:pPr>
        <w:ind w:left="460" w:right="599"/>
        <w:spacing w:after="0" w:line="244"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9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Class A common stock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0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06" w:lineRule="exact"/>
        <w:rPr>
          <w:sz w:val="20"/>
          <w:szCs w:val="20"/>
          <w:color w:val="auto"/>
        </w:rPr>
      </w:pPr>
    </w:p>
    <w:p>
      <w:pPr>
        <w:ind w:left="460" w:right="459"/>
        <w:spacing w:after="0" w:line="230"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To the extent we take advantage of such reduced disclosure obligations, it may also make comparison of our financial statements with other public companies difficult or impossible.</w:t>
      </w:r>
    </w:p>
    <w:p>
      <w:pPr>
        <w:spacing w:after="0" w:line="187" w:lineRule="exact"/>
        <w:rPr>
          <w:sz w:val="20"/>
          <w:szCs w:val="20"/>
          <w:color w:val="auto"/>
        </w:rPr>
      </w:pPr>
    </w:p>
    <w:p>
      <w:pPr>
        <w:jc w:val="both"/>
        <w:ind w:left="460" w:right="859"/>
        <w:spacing w:after="0" w:line="275" w:lineRule="auto"/>
        <w:rPr>
          <w:sz w:val="20"/>
          <w:szCs w:val="20"/>
          <w:color w:val="auto"/>
        </w:rPr>
      </w:pPr>
      <w:r>
        <w:rPr>
          <w:rFonts w:ascii="Arial" w:cs="Arial" w:eastAsia="Arial" w:hAnsi="Arial"/>
          <w:sz w:val="17"/>
          <w:szCs w:val="17"/>
          <w:b w:val="1"/>
          <w:b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0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0" w:name="page61"/>
    <w:bookmarkEnd w:id="60"/>
    <w:p>
      <w:pPr>
        <w:ind w:left="460" w:right="759"/>
        <w:spacing w:after="0" w:line="238" w:lineRule="auto"/>
        <w:rPr>
          <w:sz w:val="20"/>
          <w:szCs w:val="20"/>
          <w:color w:val="auto"/>
        </w:rPr>
      </w:pPr>
      <w:r>
        <w:rPr>
          <w:rFonts w:ascii="Arial" w:cs="Arial" w:eastAsia="Arial" w:hAnsi="Arial"/>
          <w:sz w:val="18"/>
          <w:szCs w:val="18"/>
          <w:color w:val="auto"/>
        </w:rPr>
        <w:t>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w:t>
      </w:r>
    </w:p>
    <w:p>
      <w:pPr>
        <w:spacing w:after="0" w:line="183" w:lineRule="exact"/>
        <w:rPr>
          <w:sz w:val="20"/>
          <w:szCs w:val="20"/>
          <w:color w:val="auto"/>
        </w:rPr>
      </w:pPr>
    </w:p>
    <w:p>
      <w:pPr>
        <w:jc w:val="both"/>
        <w:ind w:left="460" w:right="839"/>
        <w:spacing w:after="0" w:line="253"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inhibit a takeover of us, which could limit the price investors might be willing to pay in the future for our shares of Class A common stock and could entrench management.</w:t>
      </w:r>
    </w:p>
    <w:p>
      <w:pPr>
        <w:spacing w:after="0" w:line="110"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Our amended and restated certificate of incorporation contains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stock, which may make more difficult the removal of management and may discourage transactions that otherwise could involve payment of a premium over prevailing market prices for our securities.</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We are also subject to anti-takeover provisions under Delaware law, which could delay or prevent a change of control. Together these provisions may make the removal of management more difficult and may discourage transactions that otherwise could involve payment of a premium over prevailing market prices for our securities.</w:t>
      </w:r>
    </w:p>
    <w:p>
      <w:pPr>
        <w:spacing w:after="0" w:line="183" w:lineRule="exact"/>
        <w:rPr>
          <w:sz w:val="20"/>
          <w:szCs w:val="20"/>
          <w:color w:val="auto"/>
        </w:rPr>
      </w:pPr>
    </w:p>
    <w:p>
      <w:pPr>
        <w:ind w:left="460" w:right="839"/>
        <w:spacing w:after="0" w:line="271" w:lineRule="auto"/>
        <w:rPr>
          <w:sz w:val="20"/>
          <w:szCs w:val="20"/>
          <w:color w:val="auto"/>
        </w:rPr>
      </w:pPr>
      <w:r>
        <w:rPr>
          <w:rFonts w:ascii="Arial" w:cs="Arial" w:eastAsia="Arial" w:hAnsi="Arial"/>
          <w:sz w:val="18"/>
          <w:szCs w:val="18"/>
          <w:b w:val="1"/>
          <w:bCs w:val="1"/>
          <w:color w:val="auto"/>
        </w:rPr>
        <w:t>Provisions in our amended and restated certificate of incorporation and Delaware law may have the effect of discouraging lawsuits against our directors and officers.</w:t>
      </w:r>
    </w:p>
    <w:p>
      <w:pPr>
        <w:spacing w:after="0" w:line="68"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99" w:hanging="6"/>
        <w:spacing w:after="0" w:line="235" w:lineRule="auto"/>
        <w:tabs>
          <w:tab w:leader="none" w:pos="71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 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(C) for which the Court of Chancery does not have subject matter jurisdiction, or (D) any action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0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45" w:lineRule="exact"/>
        <w:rPr>
          <w:sz w:val="20"/>
          <w:szCs w:val="20"/>
          <w:color w:val="auto"/>
        </w:rPr>
      </w:pPr>
    </w:p>
    <w:p>
      <w:pPr>
        <w:ind w:left="460" w:right="859"/>
        <w:spacing w:after="0" w:line="271"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108"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1" w:name="page62"/>
    <w:bookmarkEnd w:id="61"/>
    <w:p>
      <w:pPr>
        <w:ind w:left="460" w:right="479"/>
        <w:spacing w:after="0" w:line="238" w:lineRule="auto"/>
        <w:rPr>
          <w:sz w:val="20"/>
          <w:szCs w:val="20"/>
          <w:color w:val="auto"/>
        </w:rPr>
      </w:pPr>
      <w:r>
        <w:rPr>
          <w:rFonts w:ascii="Arial" w:cs="Arial" w:eastAsia="Arial" w:hAnsi="Arial"/>
          <w:sz w:val="18"/>
          <w:szCs w:val="18"/>
          <w:color w:val="auto"/>
        </w:rPr>
        <w:t>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If we effect our initial business combination with a company located outside of the</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United States, we would be subject to a variety of additional risks that may adversely affect us.</w:t>
      </w:r>
    </w:p>
    <w:p>
      <w:pPr>
        <w:spacing w:after="0" w:line="142" w:lineRule="exact"/>
        <w:rPr>
          <w:sz w:val="20"/>
          <w:szCs w:val="20"/>
          <w:color w:val="auto"/>
        </w:rPr>
      </w:pPr>
    </w:p>
    <w:p>
      <w:pPr>
        <w:ind w:left="460" w:right="759"/>
        <w:spacing w:after="0" w:line="238" w:lineRule="auto"/>
        <w:rPr>
          <w:sz w:val="20"/>
          <w:szCs w:val="20"/>
          <w:color w:val="auto"/>
        </w:rPr>
      </w:pPr>
      <w:r>
        <w:rPr>
          <w:rFonts w:ascii="Arial" w:cs="Arial" w:eastAsia="Arial" w:hAnsi="Arial"/>
          <w:sz w:val="18"/>
          <w:szCs w:val="18"/>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3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37" w:lineRule="exact"/>
        <w:rPr>
          <w:sz w:val="20"/>
          <w:szCs w:val="20"/>
          <w:color w:val="auto"/>
        </w:rPr>
      </w:pPr>
    </w:p>
    <w:p>
      <w:pPr>
        <w:jc w:val="both"/>
        <w:ind w:left="460" w:right="559"/>
        <w:spacing w:after="0"/>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4" w:lineRule="exact"/>
        <w:rPr>
          <w:sz w:val="20"/>
          <w:szCs w:val="20"/>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36" w:lineRule="exact"/>
        <w:rPr>
          <w:rFonts w:ascii="Arial" w:cs="Arial" w:eastAsia="Arial" w:hAnsi="Arial"/>
          <w:sz w:val="18"/>
          <w:szCs w:val="18"/>
          <w:color w:val="auto"/>
        </w:rPr>
      </w:pPr>
    </w:p>
    <w:p>
      <w:pPr>
        <w:ind w:left="1100" w:right="1459" w:hanging="322"/>
        <w:spacing w:after="0" w:line="246" w:lineRule="auto"/>
        <w:tabs>
          <w:tab w:leader="none" w:pos="10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corruption;</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44"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17" w:lineRule="exact"/>
        <w:rPr>
          <w:sz w:val="20"/>
          <w:szCs w:val="20"/>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22" w:lineRule="exact"/>
        <w:rPr>
          <w:rFonts w:ascii="Arial" w:cs="Arial" w:eastAsia="Arial" w:hAnsi="Arial"/>
          <w:sz w:val="18"/>
          <w:szCs w:val="18"/>
          <w:color w:val="auto"/>
        </w:rPr>
      </w:pPr>
    </w:p>
    <w:p>
      <w:pPr>
        <w:ind w:left="1100" w:right="69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21" w:lineRule="exact"/>
        <w:rPr>
          <w:rFonts w:ascii="Arial" w:cs="Arial" w:eastAsia="Arial" w:hAnsi="Arial"/>
          <w:sz w:val="18"/>
          <w:szCs w:val="18"/>
          <w:color w:val="auto"/>
        </w:rPr>
      </w:pPr>
    </w:p>
    <w:p>
      <w:pPr>
        <w:ind w:left="1100" w:right="999" w:hanging="322"/>
        <w:spacing w:after="0" w:line="273" w:lineRule="auto"/>
        <w:tabs>
          <w:tab w:leader="none" w:pos="1039"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officers and directors allocating their time to other businesses and potentially having conflicts of interest with our business or in approving our initial business combination;</w:t>
      </w: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36"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21"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36" w:lineRule="exact"/>
        <w:rPr>
          <w:rFonts w:ascii="Arial" w:cs="Arial" w:eastAsia="Arial" w:hAnsi="Arial"/>
          <w:sz w:val="18"/>
          <w:szCs w:val="18"/>
          <w:color w:val="auto"/>
        </w:rPr>
      </w:pPr>
    </w:p>
    <w:p>
      <w:pPr>
        <w:ind w:left="1100" w:right="499" w:hanging="322"/>
        <w:spacing w:after="0" w:line="246" w:lineRule="auto"/>
        <w:tabs>
          <w:tab w:leader="none" w:pos="103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44"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We are offering 10,000,000 units at an offering price of $10.00 per unit. We estimate that the net proceeds of this offering together with the funds we will receive from the sale of the private placement warrants will be used as set forth in the following table.</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Without</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162"/>
        </w:trPr>
        <w:tc>
          <w:tcPr>
            <w:tcW w:w="5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Over-allotment</w:t>
            </w:r>
          </w:p>
        </w:tc>
        <w:tc>
          <w:tcPr>
            <w:tcW w:w="120" w:type="dxa"/>
            <w:vAlign w:val="bottom"/>
          </w:tcPr>
          <w:p>
            <w:pPr>
              <w:spacing w:after="0"/>
              <w:rPr>
                <w:sz w:val="14"/>
                <w:szCs w:val="1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Option</w:t>
            </w:r>
          </w:p>
        </w:tc>
        <w:tc>
          <w:tcPr>
            <w:tcW w:w="120" w:type="dxa"/>
            <w:vAlign w:val="bottom"/>
          </w:tcPr>
          <w:p>
            <w:pPr>
              <w:spacing w:after="0"/>
              <w:rPr>
                <w:sz w:val="16"/>
                <w:szCs w:val="16"/>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Exercised</w:t>
            </w:r>
          </w:p>
        </w:tc>
        <w:tc>
          <w:tcPr>
            <w:tcW w:w="0" w:type="dxa"/>
            <w:vAlign w:val="bottom"/>
          </w:tcPr>
          <w:p>
            <w:pPr>
              <w:spacing w:after="0"/>
              <w:rPr>
                <w:sz w:val="1"/>
                <w:szCs w:val="1"/>
                <w:color w:val="auto"/>
              </w:rPr>
            </w:pPr>
          </w:p>
        </w:tc>
      </w:tr>
      <w:tr>
        <w:trPr>
          <w:trHeight w:val="26"/>
        </w:trPr>
        <w:tc>
          <w:tcPr>
            <w:tcW w:w="5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Gross proceeds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5240" w:type="dxa"/>
            <w:vAlign w:val="bottom"/>
          </w:tcPr>
          <w:p>
            <w:pPr>
              <w:ind w:left="180"/>
              <w:spacing w:after="0"/>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0"/>
                <w:szCs w:val="20"/>
                <w:color w:val="auto"/>
                <w:vertAlign w:val="superscript"/>
              </w:rPr>
              <w:t>(1)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100,000,000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115,000,000</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Gross proceeds from private placement warrants offered in the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placement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4,300,000</w:t>
            </w:r>
          </w:p>
        </w:tc>
        <w:tc>
          <w:tcPr>
            <w:tcW w:w="0" w:type="dxa"/>
            <w:vAlign w:val="bottom"/>
          </w:tcPr>
          <w:p>
            <w:pPr>
              <w:spacing w:after="0"/>
              <w:rPr>
                <w:sz w:val="1"/>
                <w:szCs w:val="1"/>
                <w:color w:val="auto"/>
              </w:rPr>
            </w:pPr>
          </w:p>
        </w:tc>
      </w:tr>
      <w:tr>
        <w:trPr>
          <w:trHeight w:val="20"/>
        </w:trPr>
        <w:tc>
          <w:tcPr>
            <w:tcW w:w="5240" w:type="dxa"/>
            <w:vAlign w:val="bottom"/>
            <w:vMerge w:val="restart"/>
          </w:tcPr>
          <w:p>
            <w:pPr>
              <w:ind w:left="360"/>
              <w:spacing w:after="0"/>
              <w:rPr>
                <w:sz w:val="20"/>
                <w:szCs w:val="20"/>
                <w:color w:val="auto"/>
              </w:rPr>
            </w:pPr>
            <w:r>
              <w:rPr>
                <w:rFonts w:ascii="Arial" w:cs="Arial" w:eastAsia="Arial" w:hAnsi="Arial"/>
                <w:sz w:val="18"/>
                <w:szCs w:val="18"/>
                <w:color w:val="auto"/>
              </w:rPr>
              <w:t>Total gross proceeds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2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104,000,000</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119,300,000</w:t>
            </w:r>
          </w:p>
        </w:tc>
        <w:tc>
          <w:tcPr>
            <w:tcW w:w="0" w:type="dxa"/>
            <w:vAlign w:val="bottom"/>
          </w:tcPr>
          <w:p>
            <w:pPr>
              <w:spacing w:after="0"/>
              <w:rPr>
                <w:sz w:val="1"/>
                <w:szCs w:val="1"/>
                <w:color w:val="auto"/>
              </w:rPr>
            </w:pPr>
          </w:p>
        </w:tc>
      </w:tr>
      <w:tr>
        <w:trPr>
          <w:trHeight w:val="264"/>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Estimated offering expenses</w:t>
            </w:r>
            <w:r>
              <w:rPr>
                <w:rFonts w:ascii="Arial" w:cs="Arial" w:eastAsia="Arial" w:hAnsi="Arial"/>
                <w:sz w:val="20"/>
                <w:szCs w:val="20"/>
                <w:color w:val="auto"/>
                <w:vertAlign w:val="superscript"/>
              </w:rPr>
              <w:t>(2)</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spacing w:after="0"/>
              <w:rPr>
                <w:sz w:val="22"/>
                <w:szCs w:val="22"/>
                <w:color w:val="auto"/>
              </w:rPr>
            </w:pPr>
          </w:p>
        </w:tc>
        <w:tc>
          <w:tcPr>
            <w:tcW w:w="16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5240" w:type="dxa"/>
            <w:vAlign w:val="bottom"/>
          </w:tcPr>
          <w:p>
            <w:pPr>
              <w:ind w:left="180"/>
              <w:spacing w:after="0" w:line="201" w:lineRule="exact"/>
              <w:rPr>
                <w:sz w:val="20"/>
                <w:szCs w:val="20"/>
                <w:color w:val="auto"/>
              </w:rPr>
            </w:pPr>
            <w:r>
              <w:rPr>
                <w:rFonts w:ascii="Arial" w:cs="Arial" w:eastAsia="Arial" w:hAnsi="Arial"/>
                <w:sz w:val="18"/>
                <w:szCs w:val="18"/>
                <w:color w:val="auto"/>
              </w:rPr>
              <w:t>Underwriting commissions (2.0% of gross proceeds from 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240" w:type="dxa"/>
            <w:vAlign w:val="bottom"/>
          </w:tcPr>
          <w:p>
            <w:pPr>
              <w:ind w:left="360"/>
              <w:spacing w:after="0"/>
              <w:rPr>
                <w:sz w:val="20"/>
                <w:szCs w:val="20"/>
                <w:color w:val="auto"/>
              </w:rPr>
            </w:pPr>
            <w:r>
              <w:rPr>
                <w:rFonts w:ascii="Arial" w:cs="Arial" w:eastAsia="Arial" w:hAnsi="Arial"/>
                <w:sz w:val="18"/>
                <w:szCs w:val="18"/>
                <w:color w:val="auto"/>
              </w:rPr>
              <w:t>offered to public, excluding deferred portion)</w:t>
            </w:r>
            <w:r>
              <w:rPr>
                <w:rFonts w:ascii="Arial" w:cs="Arial" w:eastAsia="Arial" w:hAnsi="Arial"/>
                <w:sz w:val="20"/>
                <w:szCs w:val="20"/>
                <w:color w:val="auto"/>
                <w:vertAlign w:val="superscript"/>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2,000,000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2,300,000</w:t>
            </w: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fees and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Printing and engraving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Accounting fees and expenses</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56"/>
        </w:trPr>
        <w:tc>
          <w:tcPr>
            <w:tcW w:w="5240" w:type="dxa"/>
            <w:vAlign w:val="bottom"/>
          </w:tcPr>
          <w:p>
            <w:pPr>
              <w:ind w:left="180"/>
              <w:spacing w:after="0"/>
              <w:rPr>
                <w:sz w:val="20"/>
                <w:szCs w:val="20"/>
                <w:color w:val="auto"/>
              </w:rPr>
            </w:pPr>
            <w:r>
              <w:rPr>
                <w:rFonts w:ascii="Arial" w:cs="Arial" w:eastAsia="Arial" w:hAnsi="Arial"/>
                <w:sz w:val="18"/>
                <w:szCs w:val="18"/>
                <w:color w:val="auto"/>
              </w:rPr>
              <w:t>SEC/FINRA Expenses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Travel and road show</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57"/>
        </w:trPr>
        <w:tc>
          <w:tcPr>
            <w:tcW w:w="5240" w:type="dxa"/>
            <w:vAlign w:val="bottom"/>
          </w:tcPr>
          <w:p>
            <w:pPr>
              <w:ind w:left="180"/>
              <w:spacing w:after="0"/>
              <w:rPr>
                <w:sz w:val="20"/>
                <w:szCs w:val="20"/>
                <w:color w:val="auto"/>
              </w:rPr>
            </w:pPr>
            <w:r>
              <w:rPr>
                <w:rFonts w:ascii="Arial" w:cs="Arial" w:eastAsia="Arial" w:hAnsi="Arial"/>
                <w:sz w:val="18"/>
                <w:szCs w:val="18"/>
                <w:color w:val="auto"/>
              </w:rPr>
              <w:t>Nasdaq listing and filing fees</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Directors and officers insurance</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125,000</w:t>
            </w:r>
          </w:p>
        </w:tc>
        <w:tc>
          <w:tcPr>
            <w:tcW w:w="0" w:type="dxa"/>
            <w:vAlign w:val="bottom"/>
          </w:tcPr>
          <w:p>
            <w:pPr>
              <w:spacing w:after="0"/>
              <w:rPr>
                <w:sz w:val="1"/>
                <w:szCs w:val="1"/>
                <w:color w:val="auto"/>
              </w:rPr>
            </w:pPr>
          </w:p>
        </w:tc>
      </w:tr>
      <w:tr>
        <w:trPr>
          <w:trHeight w:val="277"/>
        </w:trPr>
        <w:tc>
          <w:tcPr>
            <w:tcW w:w="5240" w:type="dxa"/>
            <w:vAlign w:val="bottom"/>
          </w:tcPr>
          <w:p>
            <w:pPr>
              <w:ind w:left="180"/>
              <w:spacing w:after="0"/>
              <w:rPr>
                <w:sz w:val="20"/>
                <w:szCs w:val="20"/>
                <w:color w:val="auto"/>
              </w:rPr>
            </w:pPr>
            <w:r>
              <w:rPr>
                <w:rFonts w:ascii="Arial" w:cs="Arial" w:eastAsia="Arial" w:hAnsi="Arial"/>
                <w:sz w:val="18"/>
                <w:szCs w:val="18"/>
                <w:color w:val="auto"/>
              </w:rPr>
              <w:t>Miscellaneous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327,000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327,000</w:t>
            </w:r>
          </w:p>
        </w:tc>
        <w:tc>
          <w:tcPr>
            <w:tcW w:w="0" w:type="dxa"/>
            <w:vAlign w:val="bottom"/>
          </w:tcPr>
          <w:p>
            <w:pPr>
              <w:spacing w:after="0"/>
              <w:rPr>
                <w:sz w:val="1"/>
                <w:szCs w:val="1"/>
                <w:color w:val="auto"/>
              </w:rPr>
            </w:pPr>
          </w:p>
        </w:tc>
      </w:tr>
      <w:tr>
        <w:trPr>
          <w:trHeight w:val="188"/>
        </w:trPr>
        <w:tc>
          <w:tcPr>
            <w:tcW w:w="5240" w:type="dxa"/>
            <w:vAlign w:val="bottom"/>
            <w:tcBorders>
              <w:top w:val="single" w:sz="8" w:color="CCEEFF"/>
            </w:tcBorders>
            <w:shd w:val="clear" w:color="auto" w:fill="CCEEFF"/>
          </w:tcPr>
          <w:p>
            <w:pPr>
              <w:ind w:left="360"/>
              <w:spacing w:after="0" w:line="189" w:lineRule="exact"/>
              <w:rPr>
                <w:sz w:val="20"/>
                <w:szCs w:val="20"/>
                <w:color w:val="auto"/>
              </w:rPr>
            </w:pPr>
            <w:r>
              <w:rPr>
                <w:rFonts w:ascii="Arial" w:cs="Arial" w:eastAsia="Arial" w:hAnsi="Arial"/>
                <w:sz w:val="18"/>
                <w:szCs w:val="18"/>
                <w:color w:val="auto"/>
              </w:rPr>
              <w:t>Total offering expenses (other than underwriting</w:t>
            </w: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commissions)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Proceeds after estimated offering expenses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101,000,000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116,000,000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100,000,000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 of public offering size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Not held in trust account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60" w:right="779"/>
        <w:spacing w:after="0" w:line="273" w:lineRule="auto"/>
        <w:rPr>
          <w:sz w:val="20"/>
          <w:szCs w:val="20"/>
          <w:color w:val="auto"/>
        </w:rPr>
      </w:pPr>
      <w:r>
        <w:rPr>
          <w:rFonts w:ascii="Arial" w:cs="Arial" w:eastAsia="Arial" w:hAnsi="Arial"/>
          <w:sz w:val="18"/>
          <w:szCs w:val="18"/>
          <w:color w:val="auto"/>
        </w:rPr>
        <w:t>The following table shows the use of the approximately $1,000,000 of net proceeds not held in the trust account</w:t>
      </w:r>
      <w:r>
        <w:rPr>
          <w:rFonts w:ascii="Arial" w:cs="Arial" w:eastAsia="Arial" w:hAnsi="Arial"/>
          <w:sz w:val="20"/>
          <w:szCs w:val="20"/>
          <w:color w:val="auto"/>
          <w:vertAlign w:val="superscript"/>
        </w:rPr>
        <w:t>(4)</w:t>
      </w:r>
    </w:p>
    <w:p>
      <w:pPr>
        <w:spacing w:after="0" w:line="15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 of Total</w:t>
            </w:r>
          </w:p>
        </w:tc>
      </w:tr>
      <w:tr>
        <w:trPr>
          <w:trHeight w:val="25"/>
        </w:trPr>
        <w:tc>
          <w:tcPr>
            <w:tcW w:w="57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82"/>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Legal, accounting, due diligence, travel, and other expenses in</w:t>
            </w: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44"/>
        </w:trPr>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connection with any business combination)</w:t>
            </w:r>
            <w:r>
              <w:rPr>
                <w:rFonts w:ascii="Arial" w:cs="Arial" w:eastAsia="Arial" w:hAnsi="Arial"/>
                <w:sz w:val="20"/>
                <w:szCs w:val="20"/>
                <w:color w:val="auto"/>
                <w:vertAlign w:val="superscript"/>
              </w:rPr>
              <w:t>(5)</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85,000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and other regulatory fees</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57"/>
        </w:trPr>
        <w:tc>
          <w:tcPr>
            <w:tcW w:w="5700" w:type="dxa"/>
            <w:vAlign w:val="bottom"/>
          </w:tcPr>
          <w:p>
            <w:pPr>
              <w:spacing w:after="0"/>
              <w:rPr>
                <w:sz w:val="20"/>
                <w:szCs w:val="20"/>
                <w:color w:val="auto"/>
              </w:rPr>
            </w:pPr>
            <w:r>
              <w:rPr>
                <w:rFonts w:ascii="Arial" w:cs="Arial" w:eastAsia="Arial" w:hAnsi="Arial"/>
                <w:sz w:val="18"/>
                <w:szCs w:val="18"/>
                <w:color w:val="auto"/>
              </w:rPr>
              <w:t>Payment for office space, secretarial and administrative services</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240,000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24.0%</w:t>
            </w:r>
          </w:p>
        </w:tc>
      </w:tr>
      <w:tr>
        <w:trPr>
          <w:trHeight w:val="27"/>
        </w:trPr>
        <w:tc>
          <w:tcPr>
            <w:tcW w:w="5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2"/>
        </w:trPr>
        <w:tc>
          <w:tcPr>
            <w:tcW w:w="5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Consulting, travel and miscellaneous expenses incurred during search</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5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initial business combination target</w:t>
            </w:r>
          </w:p>
        </w:tc>
        <w:tc>
          <w:tcPr>
            <w:tcW w:w="1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75,000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77"/>
        </w:trPr>
        <w:tc>
          <w:tcPr>
            <w:tcW w:w="5700" w:type="dxa"/>
            <w:vAlign w:val="bottom"/>
          </w:tcPr>
          <w:p>
            <w:pPr>
              <w:spacing w:after="0"/>
              <w:rPr>
                <w:sz w:val="20"/>
                <w:szCs w:val="20"/>
                <w:color w:val="auto"/>
              </w:rPr>
            </w:pPr>
            <w:r>
              <w:rPr>
                <w:rFonts w:ascii="Arial" w:cs="Arial" w:eastAsia="Arial" w:hAnsi="Arial"/>
                <w:sz w:val="18"/>
                <w:szCs w:val="18"/>
                <w:color w:val="auto"/>
              </w:rPr>
              <w:t>Working capital to cover miscellaneous expenses</w:t>
            </w:r>
          </w:p>
        </w:tc>
        <w:tc>
          <w:tcPr>
            <w:tcW w:w="108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4"/>
                <w:szCs w:val="24"/>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7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5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1,000,000</w:t>
            </w:r>
          </w:p>
        </w:tc>
        <w:tc>
          <w:tcPr>
            <w:tcW w:w="8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sz w:val="20"/>
          <w:szCs w:val="20"/>
          <w:color w:val="auto"/>
        </w:rPr>
      </w:pPr>
    </w:p>
    <w:p>
      <w:pPr>
        <w:ind w:left="880" w:right="679" w:hanging="426"/>
        <w:spacing w:after="0" w:line="216" w:lineRule="auto"/>
        <w:tabs>
          <w:tab w:leader="none" w:pos="847" w:val="left"/>
        </w:tabs>
        <w:numPr>
          <w:ilvl w:val="0"/>
          <w:numId w:val="32"/>
        </w:numPr>
        <w:rPr>
          <w:rFonts w:ascii="Arial" w:cs="Arial" w:eastAsia="Arial" w:hAnsi="Arial"/>
          <w:sz w:val="13"/>
          <w:szCs w:val="13"/>
          <w:color w:val="auto"/>
        </w:rPr>
      </w:pPr>
      <w:r>
        <w:rPr>
          <w:rFonts w:ascii="Arial" w:cs="Arial" w:eastAsia="Arial" w:hAnsi="Arial"/>
          <w:sz w:val="13"/>
          <w:szCs w:val="13"/>
          <w:color w:val="auto"/>
        </w:rPr>
        <w:t>Includes amounts payable to public stockholders who properly redeem their shares in connection with our successful completion of our initial business combination.</w:t>
      </w:r>
    </w:p>
    <w:p>
      <w:pPr>
        <w:ind w:left="880" w:right="499" w:hanging="426"/>
        <w:spacing w:after="0" w:line="216" w:lineRule="auto"/>
        <w:tabs>
          <w:tab w:leader="none" w:pos="84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portion of the offering expenses will be paid from the proceeds of loans from our sponsor of up to $200,000 as described in this prospectus. These loans will be repaid upon completion of this offering out of the $1,000,000 of offering proceeds that has been allocated for the payment of offering expenses other than underwriting commissions. In the event that offering expenses are less than set forth in this table, any such amounts will be used for post-closing working capital expenses.</w:t>
      </w:r>
    </w:p>
    <w:p>
      <w:pPr>
        <w:spacing w:after="0" w:line="1" w:lineRule="exact"/>
        <w:rPr>
          <w:rFonts w:ascii="Arial" w:cs="Arial" w:eastAsia="Arial" w:hAnsi="Arial"/>
          <w:sz w:val="13"/>
          <w:szCs w:val="13"/>
          <w:color w:val="auto"/>
        </w:rPr>
      </w:pPr>
    </w:p>
    <w:p>
      <w:pPr>
        <w:ind w:left="880" w:right="499" w:hanging="426"/>
        <w:spacing w:after="0" w:line="222" w:lineRule="auto"/>
        <w:tabs>
          <w:tab w:leader="none" w:pos="845"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underwriters have agreed to defer underwriting commissions of 3.5% of the gross proceeds of this offering. Upon and concurrently with the completion of our initial business combination, up to $3,500,000, which constitutes the underwriters’ deferred commissions (or up to $4,025,000 if the underwriters’ over-allotment option is exercised in full) will be paid to the underwriters from the funds held in the trust account. See “Underwriting”. The remaining funds, less amounts released to the trustee to pay redeeming stockholders, will be released to us and can be used to</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64" w:name="page65"/>
    <w:bookmarkEnd w:id="64"/>
    <w:p>
      <w:pPr>
        <w:ind w:left="880" w:right="519"/>
        <w:spacing w:after="0" w:line="216" w:lineRule="auto"/>
        <w:rPr>
          <w:sz w:val="20"/>
          <w:szCs w:val="20"/>
          <w:color w:val="auto"/>
        </w:rPr>
      </w:pPr>
      <w:r>
        <w:rPr>
          <w:rFonts w:ascii="Arial" w:cs="Arial" w:eastAsia="Arial" w:hAnsi="Arial"/>
          <w:sz w:val="13"/>
          <w:szCs w:val="13"/>
          <w:color w:val="auto"/>
        </w:rPr>
        <w:t>pay all or a portion of the purchase price of the business or businesses with which our initial business combination occurs or for general corporate purposes, including payment of principal or interest on indebtedness incurred in connection with our initial business combination, to fund the purchases of other companies or for working capital. The underwriters will not be entitled to any interest accrued on the deferred underwriting discounts and commissions.</w:t>
      </w:r>
    </w:p>
    <w:p>
      <w:pPr>
        <w:spacing w:after="0" w:line="2" w:lineRule="exact"/>
        <w:rPr>
          <w:sz w:val="20"/>
          <w:szCs w:val="20"/>
          <w:color w:val="auto"/>
        </w:rPr>
      </w:pPr>
    </w:p>
    <w:p>
      <w:pPr>
        <w:ind w:left="880" w:right="479" w:hanging="426"/>
        <w:spacing w:after="0" w:line="216" w:lineRule="auto"/>
        <w:tabs>
          <w:tab w:leader="none" w:pos="845"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 per year, assuming an interest rate of 0.1% per year; however, we can provide no assurances regarding this amount.</w:t>
      </w:r>
    </w:p>
    <w:p>
      <w:pPr>
        <w:spacing w:after="0" w:line="5" w:lineRule="exact"/>
        <w:rPr>
          <w:rFonts w:ascii="Arial" w:cs="Arial" w:eastAsia="Arial" w:hAnsi="Arial"/>
          <w:sz w:val="13"/>
          <w:szCs w:val="13"/>
          <w:color w:val="auto"/>
        </w:rPr>
      </w:pPr>
    </w:p>
    <w:p>
      <w:pPr>
        <w:ind w:left="880" w:right="639" w:hanging="426"/>
        <w:spacing w:after="0" w:line="230" w:lineRule="auto"/>
        <w:tabs>
          <w:tab w:leader="none" w:pos="847"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estimated amounts that may also be used in connection with our initial business combination to fund a “no shop” provision and commitment fees for financing.</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Nasdaq rules provide that at least 90% of the gross proceeds from this offering and the sale of the private placement warrants be deposited in a trust account. Of the $104.0 million in gross proceeds we receive from this offering and the sale of the private placement warrants described in this prospectus, or $119.3 million if the underwriters’ over-allotment option is exercised in full, $100 million ($10.00 per unit), or $115 million if the underwriters’ over-allotment option is exercised in full ($10.00 per unit), will be deposited into a trust account with Continental Stock Transfer &amp; Trust Company acting as trustee, after deducting $ 2.0 million in underwriting discounts and commissions payable upon the closing of this offering (or $2.3 million if the underwriters’ over-allotment option is exercised in full) and an aggregate of $2.0 million to pay fees and expenses in connection with the closing of this offering and for working capital following this offering. The proceeds held in the trust account will be invested only in U.S. government treasury bills with a maturity of 185 days or less or in money market funds meeting certain conditions under Rule 2a-7 under the Investment Company Act which invest only in direct U.S. government treasury obligations. We estimate the interest earned on the trust account will be approximately $100,000 per year, assuming an interest rate of 0.1% per year; however, we can provide no assurances regarding this amount.</w:t>
      </w:r>
    </w:p>
    <w:p>
      <w:pPr>
        <w:spacing w:after="0" w:line="132"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color w:val="auto"/>
        </w:rPr>
        <w:t>We expect that the interest earned on the trust account will be sufficient to pay income taxes. We will not be permitted to withdraw any of the principal or interest held in the trust account, except for the withdrawal of interest to pay our taxes,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our initial business combination within 24 months from the closing of this offering or with respect to any other material provisions relating to stockholders’ rights or pre-initial business combination activity.</w:t>
      </w:r>
    </w:p>
    <w:p>
      <w:pPr>
        <w:spacing w:after="0" w:line="12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However, our amended and restated certificate of incorporation provides that, following this offering and prior to the consummation of our initial business combination, we will be prohibited from issuing additional securities that would entitle the holders thereof to (i) receive funds from the trust account or (ii) vote as a class with our public shares (a) on any initial business combination or (b) to approve an amendment to our amended and restated certificate of incorporation to (x) extend the time we have to consummate a business combination beyond 24 months from the closing of this offering or (y) amend the foregoing provisions.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34" w:right="1440" w:bottom="1440" w:gutter="0" w:footer="0" w:header="0"/>
        </w:sectPr>
      </w:pPr>
    </w:p>
    <w:bookmarkStart w:id="65" w:name="page66"/>
    <w:bookmarkEnd w:id="65"/>
    <w:p>
      <w:pPr>
        <w:ind w:left="460" w:right="539"/>
        <w:spacing w:after="0" w:line="236" w:lineRule="auto"/>
        <w:rPr>
          <w:sz w:val="20"/>
          <w:szCs w:val="20"/>
          <w:color w:val="auto"/>
        </w:rPr>
      </w:pPr>
      <w:r>
        <w:rPr>
          <w:rFonts w:ascii="Arial" w:cs="Arial" w:eastAsia="Arial" w:hAnsi="Arial"/>
          <w:sz w:val="18"/>
          <w:szCs w:val="18"/>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business combination, only after we have negotiated and signed a letter of intent or other preliminary agreement that addresses the terms of a business combination.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12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Subsequent to the closing of this offering, we will pay our sponsor $10,000 per month for office space, secretarial and administrative services provided to members of our management team. Upon completion of our initial business combination or our liquidation, we will cease paying these monthly fees.</w:t>
      </w:r>
    </w:p>
    <w:p>
      <w:pPr>
        <w:spacing w:after="0" w:line="137"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Prior to the closing of this offering, our sponsor has agreed to loan us up to $200,000 to be used for a portion of the expenses of this offering. These loans are non-interest bearing, unsecured and are due at the earlier of December 31, 2020 or the closing of this offering. The loan will be repaid upon the closing of this offering out of the $1,000,000 of offering proceeds that has been allocated to the payment of offering expenses.</w:t>
      </w:r>
    </w:p>
    <w:p>
      <w:pPr>
        <w:spacing w:after="0" w:line="135" w:lineRule="exact"/>
        <w:rPr>
          <w:sz w:val="20"/>
          <w:szCs w:val="20"/>
          <w:color w:val="auto"/>
        </w:rPr>
      </w:pPr>
    </w:p>
    <w:p>
      <w:pPr>
        <w:ind w:left="460" w:right="519"/>
        <w:spacing w:after="0" w:line="250"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or decrease the size of this offering pursuant to Rule 462(b) under the Securities Act, we will effect a stock dividend or share contribution back to capital or other appropriate mechanism immediately prior to the consummation of this offering in such amount as to maintain the number of founder shares at 20.0% of our issued and outstanding common stock upon the consummation of this offering. Further, if we incur any indebtedness in connection with our initial business combination, our ability to declare dividends may be limited by restrictive covenants we may agree to in connection therewith.</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DILUTION</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difference between the public offering price per share of Class A common stock, assuming no value is attributed to the warrants included in the units we are offering pursuant to this prospectus or the private placement warrants, and the pro forma net tangible book value per share of our Class A common stock after this offering constitutes the dilution to investors in this offering. Such calculation does not reflect any dilution associated with the sale and exercise of warrants, including the private placement warrants, which would cause the actual dilution to the public stockholders to be higher, particularly where a cashless exercise is utilized. Net tangible book value per share is determined by dividing our net tangible book value, which is our total tangible assets less total liabilities (including the value of shares of Class A common stock which may be redeemed for cash), by the number of shares of outstanding Class A common stock.</w:t>
      </w:r>
    </w:p>
    <w:p>
      <w:pPr>
        <w:spacing w:after="0" w:line="12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At June 30, 2020, our net tangible book deficit was $(29,500), or approximately $(0.01) per share of common stock. After giving effect to the sale of 10,000,000 shares of Class A common stock included in the units we are offering by this prospectus (or 11,500,000 shares of Class A common stock if the underwriters’ over-allotment option is exercised in full), the sale of the private placement warrants and the deduction of underwriting commissions and estimated expenses of this offering, our pro forma net tangible book value at June 30, 2020 would have been $5,000,010 or $1.54 per share (or $5,000,010 or $1.36 per share if the underwriters’ over-allotment option is exercised in full), representing an immediate increase in net tangible book value (as decreased by the value of 9,252,349 shares of Class A common stock that may be redeemed for cash, or 10,699,849 shares of Class A common stock if the underwriters’ over-allotment option is exercised in full) of $1.55 per share (or $1.37 if the underwriters’ over-allotment option is exercised in full) to our initial stockholders as of the date of this prospectus. Total dilution to public stockholders from this offering will be $8.46 per share (or $8.64 if the underwriters’ over-allotment option is exercised in full).</w:t>
      </w:r>
    </w:p>
    <w:p>
      <w:pPr>
        <w:spacing w:after="0" w:line="135" w:lineRule="exact"/>
        <w:rPr>
          <w:sz w:val="20"/>
          <w:szCs w:val="20"/>
          <w:color w:val="auto"/>
        </w:rPr>
      </w:pPr>
    </w:p>
    <w:p>
      <w:pPr>
        <w:ind w:left="460" w:right="699"/>
        <w:spacing w:after="0" w:line="274" w:lineRule="auto"/>
        <w:rPr>
          <w:sz w:val="20"/>
          <w:szCs w:val="20"/>
          <w:color w:val="auto"/>
        </w:rPr>
      </w:pPr>
      <w:r>
        <w:rPr>
          <w:rFonts w:ascii="Arial" w:cs="Arial" w:eastAsia="Arial" w:hAnsi="Arial"/>
          <w:sz w:val="17"/>
          <w:szCs w:val="17"/>
          <w:color w:val="auto"/>
        </w:rPr>
        <w:t>The following table illustrates the dilution to the public stockholders on a per-share basis, assuming no value is attributed to the warrants included in the units or the private placement warrants:</w:t>
      </w:r>
    </w:p>
    <w:p>
      <w:pPr>
        <w:spacing w:after="0" w:line="122"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Without</w:t>
            </w:r>
          </w:p>
        </w:tc>
        <w:tc>
          <w:tcPr>
            <w:tcW w:w="260" w:type="dxa"/>
            <w:vAlign w:val="bottom"/>
          </w:tcPr>
          <w:p>
            <w:pPr>
              <w:spacing w:after="0"/>
              <w:rPr>
                <w:sz w:val="14"/>
                <w:szCs w:val="14"/>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With</w:t>
            </w:r>
          </w:p>
        </w:tc>
      </w:t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Over-allotment</w:t>
            </w:r>
          </w:p>
        </w:tc>
        <w:tc>
          <w:tcPr>
            <w:tcW w:w="122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rPr>
              <w:t>Over-allotment</w:t>
            </w:r>
          </w:p>
        </w:tc>
      </w:tr>
      <w:tr>
        <w:trPr>
          <w:trHeight w:val="26"/>
        </w:trPr>
        <w:tc>
          <w:tcPr>
            <w:tcW w:w="5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10.00</w:t>
            </w:r>
          </w:p>
        </w:tc>
      </w:tr>
      <w:tr>
        <w:trPr>
          <w:trHeight w:val="256"/>
        </w:trPr>
        <w:tc>
          <w:tcPr>
            <w:tcW w:w="548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(0.01)</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stockholders</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1.37</w:t>
            </w:r>
          </w:p>
        </w:tc>
      </w:tr>
      <w:tr>
        <w:trPr>
          <w:trHeight w:val="202"/>
        </w:trPr>
        <w:tc>
          <w:tcPr>
            <w:tcW w:w="5480" w:type="dxa"/>
            <w:vAlign w:val="bottom"/>
          </w:tcPr>
          <w:p>
            <w:pPr>
              <w:spacing w:after="0" w:line="201" w:lineRule="exact"/>
              <w:rPr>
                <w:sz w:val="20"/>
                <w:szCs w:val="20"/>
                <w:color w:val="auto"/>
              </w:rPr>
            </w:pPr>
            <w:r>
              <w:rPr>
                <w:rFonts w:ascii="Arial" w:cs="Arial" w:eastAsia="Arial" w:hAnsi="Arial"/>
                <w:sz w:val="18"/>
                <w:szCs w:val="18"/>
                <w:color w:val="auto"/>
              </w:rPr>
              <w:t>Pro forma net tangible book value after this offering and the sale of</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7"/>
        </w:trPr>
        <w:tc>
          <w:tcPr>
            <w:tcW w:w="5480" w:type="dxa"/>
            <w:vAlign w:val="bottom"/>
          </w:tcPr>
          <w:p>
            <w:pPr>
              <w:ind w:left="180"/>
              <w:spacing w:after="0"/>
              <w:rPr>
                <w:sz w:val="20"/>
                <w:szCs w:val="20"/>
                <w:color w:val="auto"/>
              </w:rPr>
            </w:pPr>
            <w:r>
              <w:rPr>
                <w:rFonts w:ascii="Arial" w:cs="Arial" w:eastAsia="Arial" w:hAnsi="Arial"/>
                <w:sz w:val="18"/>
                <w:szCs w:val="18"/>
                <w:color w:val="auto"/>
              </w:rPr>
              <w:t>the private placement warrants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1.36</w:t>
            </w:r>
          </w:p>
        </w:tc>
      </w:tr>
      <w:tr>
        <w:trPr>
          <w:trHeight w:val="27"/>
        </w:trPr>
        <w:tc>
          <w:tcPr>
            <w:tcW w:w="5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public stockholders</w:t>
            </w:r>
          </w:p>
        </w:tc>
        <w:tc>
          <w:tcPr>
            <w:tcW w:w="38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8.46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8.64</w:t>
            </w:r>
          </w:p>
        </w:tc>
      </w:tr>
      <w:tr>
        <w:trPr>
          <w:trHeight w:val="257"/>
        </w:trPr>
        <w:tc>
          <w:tcPr>
            <w:tcW w:w="5480" w:type="dxa"/>
            <w:vAlign w:val="bottom"/>
          </w:tcPr>
          <w:p>
            <w:pPr>
              <w:spacing w:after="0"/>
              <w:rPr>
                <w:sz w:val="20"/>
                <w:szCs w:val="20"/>
                <w:color w:val="auto"/>
              </w:rPr>
            </w:pPr>
            <w:r>
              <w:rPr>
                <w:rFonts w:ascii="Arial" w:cs="Arial" w:eastAsia="Arial" w:hAnsi="Arial"/>
                <w:sz w:val="18"/>
                <w:szCs w:val="18"/>
                <w:color w:val="auto"/>
              </w:rPr>
              <w:t>Percentage of dilution to public stockholders</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86.4%</w:t>
            </w:r>
          </w:p>
        </w:tc>
      </w:tr>
    </w:tbl>
    <w:p>
      <w:pPr>
        <w:spacing w:after="0" w:line="21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purposes of presentation, we have reduced our pro forma net tangible book value after this offering (assuming no exercise of the underwriters’ over-allotment option) by $92,523,490 because holders of up to approximately 92.5%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business days prior to the commencement of our tender offer or stockholders meeting, including interest earned on the funds held in the trust account and not previously released to us to pay our taxes), divided by the number of shares of Class A common stock sold in this offering.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68" w:name="page69"/>
    <w:bookmarkEnd w:id="68"/>
    <w:p>
      <w:pPr>
        <w:ind w:left="460" w:right="1119"/>
        <w:spacing w:after="0" w:line="246" w:lineRule="auto"/>
        <w:rPr>
          <w:sz w:val="20"/>
          <w:szCs w:val="20"/>
          <w:color w:val="auto"/>
        </w:rPr>
      </w:pPr>
      <w:r>
        <w:rPr>
          <w:rFonts w:ascii="Arial" w:cs="Arial" w:eastAsia="Arial" w:hAnsi="Arial"/>
          <w:sz w:val="18"/>
          <w:szCs w:val="18"/>
          <w:color w:val="auto"/>
        </w:rPr>
        <w:t>The following table sets forth information with respect to our initial stockholders and the public stockholders:</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2440" w:type="dxa"/>
            <w:vAlign w:val="bottom"/>
            <w:gridSpan w:val="6"/>
          </w:tcPr>
          <w:p>
            <w:pPr>
              <w:ind w:left="460"/>
              <w:spacing w:after="0"/>
              <w:rPr>
                <w:sz w:val="20"/>
                <w:szCs w:val="20"/>
                <w:color w:val="auto"/>
              </w:rPr>
            </w:pPr>
            <w:r>
              <w:rPr>
                <w:rFonts w:ascii="Arial" w:cs="Arial" w:eastAsia="Arial" w:hAnsi="Arial"/>
                <w:sz w:val="14"/>
                <w:szCs w:val="14"/>
                <w:b w:val="1"/>
                <w:bCs w:val="1"/>
                <w:color w:val="auto"/>
              </w:rPr>
              <w:t>Shares Purchased</w:t>
            </w:r>
          </w:p>
        </w:tc>
        <w:tc>
          <w:tcPr>
            <w:tcW w:w="216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Total Consideration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26"/>
        </w:trPr>
        <w:tc>
          <w:tcPr>
            <w:tcW w:w="21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1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18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1260" w:type="dxa"/>
            <w:vAlign w:val="bottom"/>
            <w:gridSpan w:val="4"/>
          </w:tcPr>
          <w:p>
            <w:pPr>
              <w:ind w:left="120"/>
              <w:spacing w:after="0"/>
              <w:rPr>
                <w:sz w:val="20"/>
                <w:szCs w:val="20"/>
                <w:color w:val="auto"/>
              </w:rPr>
            </w:pPr>
            <w:r>
              <w:rPr>
                <w:rFonts w:ascii="Arial" w:cs="Arial" w:eastAsia="Arial" w:hAnsi="Arial"/>
                <w:sz w:val="14"/>
                <w:szCs w:val="14"/>
                <w:b w:val="1"/>
                <w:bCs w:val="1"/>
                <w:color w:val="auto"/>
              </w:rPr>
              <w:t>Percentage</w:t>
            </w: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99"/>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6"/>
        </w:trPr>
        <w:tc>
          <w:tcPr>
            <w:tcW w:w="21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Initial Stockholders</w:t>
            </w:r>
            <w:r>
              <w:rPr>
                <w:rFonts w:ascii="Arial" w:cs="Arial" w:eastAsia="Arial" w:hAnsi="Arial"/>
                <w:sz w:val="20"/>
                <w:szCs w:val="20"/>
                <w:color w:val="auto"/>
                <w:vertAlign w:val="superscript"/>
              </w:rPr>
              <w:t>(1)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2,500,000</w:t>
            </w:r>
          </w:p>
        </w:tc>
        <w:tc>
          <w:tcPr>
            <w:tcW w:w="12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20.00%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7"/>
        </w:trPr>
        <w:tc>
          <w:tcPr>
            <w:tcW w:w="2180" w:type="dxa"/>
            <w:vAlign w:val="bottom"/>
          </w:tcPr>
          <w:p>
            <w:pPr>
              <w:spacing w:after="0"/>
              <w:rPr>
                <w:sz w:val="20"/>
                <w:szCs w:val="20"/>
                <w:color w:val="auto"/>
              </w:rPr>
            </w:pPr>
            <w:r>
              <w:rPr>
                <w:rFonts w:ascii="Arial" w:cs="Arial" w:eastAsia="Arial" w:hAnsi="Arial"/>
                <w:sz w:val="18"/>
                <w:szCs w:val="18"/>
                <w:color w:val="auto"/>
              </w:rPr>
              <w:t>Public Stockholders</w:t>
            </w:r>
          </w:p>
        </w:tc>
        <w:tc>
          <w:tcPr>
            <w:tcW w:w="1100" w:type="dxa"/>
            <w:vAlign w:val="bottom"/>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tcPr>
          <w:p>
            <w:pPr>
              <w:spacing w:after="0"/>
              <w:rPr>
                <w:sz w:val="24"/>
                <w:szCs w:val="24"/>
                <w:color w:val="auto"/>
              </w:rPr>
            </w:pPr>
          </w:p>
        </w:tc>
        <w:tc>
          <w:tcPr>
            <w:tcW w:w="1000" w:type="dxa"/>
            <w:vAlign w:val="bottom"/>
            <w:gridSpan w:val="2"/>
          </w:tcPr>
          <w:p>
            <w:pPr>
              <w:ind w:left="400"/>
              <w:spacing w:after="0"/>
              <w:rPr>
                <w:sz w:val="20"/>
                <w:szCs w:val="20"/>
                <w:color w:val="auto"/>
              </w:rPr>
            </w:pPr>
            <w:r>
              <w:rPr>
                <w:rFonts w:ascii="Arial" w:cs="Arial" w:eastAsia="Arial" w:hAnsi="Arial"/>
                <w:sz w:val="18"/>
                <w:szCs w:val="18"/>
                <w:color w:val="auto"/>
              </w:rPr>
              <w:t>80.00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100,000,000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99.98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1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18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80" w:type="dxa"/>
            <w:vAlign w:val="bottom"/>
            <w:shd w:val="clear" w:color="auto" w:fill="CCEEFF"/>
          </w:tcPr>
          <w:p>
            <w:pPr>
              <w:spacing w:after="0"/>
              <w:rPr>
                <w:sz w:val="22"/>
                <w:szCs w:val="22"/>
                <w:color w:val="auto"/>
              </w:rPr>
            </w:pPr>
          </w:p>
        </w:tc>
        <w:tc>
          <w:tcPr>
            <w:tcW w:w="126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100.0% $</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100,025,000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sz w:val="20"/>
          <w:szCs w:val="20"/>
          <w:color w:val="auto"/>
        </w:rPr>
      </w:pPr>
    </w:p>
    <w:p>
      <w:pPr>
        <w:ind w:left="880" w:right="479" w:hanging="426"/>
        <w:spacing w:after="0" w:line="230" w:lineRule="auto"/>
        <w:tabs>
          <w:tab w:leader="none" w:pos="84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Assumes that 375,000 founder shares are forfeited after the closing of this offering in the event the underwriters do not exercise their over-allotment option.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 forma net tangible book value per share after the offering is calculated as follows:</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Without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With</w:t>
            </w: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Over-allotment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Over-allotment</w:t>
            </w:r>
          </w:p>
        </w:tc>
        <w:tc>
          <w:tcPr>
            <w:tcW w:w="0" w:type="dxa"/>
            <w:vAlign w:val="bottom"/>
          </w:tcPr>
          <w:p>
            <w:pPr>
              <w:spacing w:after="0"/>
              <w:rPr>
                <w:sz w:val="1"/>
                <w:szCs w:val="1"/>
                <w:color w:val="auto"/>
              </w:rPr>
            </w:pPr>
          </w:p>
        </w:tc>
      </w:tr>
      <w:tr>
        <w:trPr>
          <w:trHeight w:val="26"/>
        </w:trPr>
        <w:tc>
          <w:tcPr>
            <w:tcW w:w="5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(29,500)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(29,500)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20"/>
                <w:szCs w:val="20"/>
                <w:color w:val="auto"/>
                <w:vertAlign w:val="superscript"/>
              </w:rPr>
              <w:t>(1)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101,000,000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116,000,000</w:t>
            </w:r>
          </w:p>
        </w:tc>
        <w:tc>
          <w:tcPr>
            <w:tcW w:w="0" w:type="dxa"/>
            <w:vAlign w:val="bottom"/>
          </w:tcPr>
          <w:p>
            <w:pPr>
              <w:spacing w:after="0"/>
              <w:rPr>
                <w:sz w:val="1"/>
                <w:szCs w:val="1"/>
                <w:color w:val="auto"/>
              </w:rPr>
            </w:pP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rPr>
              <w:t>Plus: Offering costs paid in advance, excluded from tangible book</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20" w:type="dxa"/>
            <w:vAlign w:val="bottom"/>
          </w:tcPr>
          <w:p>
            <w:pPr>
              <w:ind w:left="180"/>
              <w:spacing w:after="0"/>
              <w:rPr>
                <w:sz w:val="20"/>
                <w:szCs w:val="20"/>
                <w:color w:val="auto"/>
              </w:rPr>
            </w:pPr>
            <w:r>
              <w:rPr>
                <w:rFonts w:ascii="Arial" w:cs="Arial" w:eastAsia="Arial" w:hAnsi="Arial"/>
                <w:sz w:val="18"/>
                <w:szCs w:val="18"/>
                <w:color w:val="auto"/>
              </w:rPr>
              <w:t>value before this offering</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53,000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(4,025,000)</w:t>
            </w:r>
          </w:p>
        </w:tc>
        <w:tc>
          <w:tcPr>
            <w:tcW w:w="0" w:type="dxa"/>
            <w:vAlign w:val="bottom"/>
          </w:tcPr>
          <w:p>
            <w:pPr>
              <w:spacing w:after="0"/>
              <w:rPr>
                <w:sz w:val="1"/>
                <w:szCs w:val="1"/>
                <w:color w:val="auto"/>
              </w:rPr>
            </w:pPr>
          </w:p>
        </w:tc>
      </w:tr>
      <w:tr>
        <w:trPr>
          <w:trHeight w:val="284"/>
        </w:trPr>
        <w:tc>
          <w:tcPr>
            <w:tcW w:w="532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20"/>
                <w:szCs w:val="20"/>
                <w:color w:val="auto"/>
                <w:vertAlign w:val="superscript"/>
              </w:rPr>
              <w:t>(2)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(92,523,490)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(106,998,490)</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5,000,010</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B common stock outstanding prior to this offering</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2,875,000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2,875,000</w:t>
            </w:r>
          </w:p>
        </w:tc>
        <w:tc>
          <w:tcPr>
            <w:tcW w:w="0" w:type="dxa"/>
            <w:vAlign w:val="bottom"/>
          </w:tcPr>
          <w:p>
            <w:pPr>
              <w:spacing w:after="0"/>
              <w:rPr>
                <w:sz w:val="1"/>
                <w:szCs w:val="1"/>
                <w:color w:val="auto"/>
              </w:rPr>
            </w:pPr>
          </w:p>
        </w:tc>
      </w:tr>
      <w:tr>
        <w:trPr>
          <w:trHeight w:val="257"/>
        </w:trPr>
        <w:tc>
          <w:tcPr>
            <w:tcW w:w="5320" w:type="dxa"/>
            <w:vAlign w:val="bottom"/>
          </w:tcPr>
          <w:p>
            <w:pPr>
              <w:spacing w:after="0"/>
              <w:rPr>
                <w:sz w:val="20"/>
                <w:szCs w:val="20"/>
                <w:color w:val="auto"/>
              </w:rPr>
            </w:pPr>
            <w:r>
              <w:rPr>
                <w:rFonts w:ascii="Arial" w:cs="Arial" w:eastAsia="Arial" w:hAnsi="Arial"/>
                <w:sz w:val="18"/>
                <w:szCs w:val="18"/>
                <w:color w:val="auto"/>
              </w:rPr>
              <w:t>Class B common stock forfeited if over-allotment is not exercised</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common stock included in the units offered</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10,000,000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11,500,000</w:t>
            </w:r>
          </w:p>
        </w:tc>
        <w:tc>
          <w:tcPr>
            <w:tcW w:w="0" w:type="dxa"/>
            <w:vAlign w:val="bottom"/>
          </w:tcPr>
          <w:p>
            <w:pPr>
              <w:spacing w:after="0"/>
              <w:rPr>
                <w:sz w:val="1"/>
                <w:szCs w:val="1"/>
                <w:color w:val="auto"/>
              </w:rPr>
            </w:pPr>
          </w:p>
        </w:tc>
      </w:tr>
      <w:tr>
        <w:trPr>
          <w:trHeight w:val="277"/>
        </w:trPr>
        <w:tc>
          <w:tcPr>
            <w:tcW w:w="5320" w:type="dxa"/>
            <w:vAlign w:val="bottom"/>
          </w:tcPr>
          <w:p>
            <w:pPr>
              <w:spacing w:after="0"/>
              <w:rPr>
                <w:sz w:val="20"/>
                <w:szCs w:val="20"/>
                <w:color w:val="auto"/>
              </w:rPr>
            </w:pPr>
            <w:r>
              <w:rPr>
                <w:rFonts w:ascii="Arial" w:cs="Arial" w:eastAsia="Arial" w:hAnsi="Arial"/>
                <w:sz w:val="18"/>
                <w:szCs w:val="18"/>
                <w:color w:val="auto"/>
              </w:rPr>
              <w:t>Less: Shares subject to redemption</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(9,252,349)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(10,699,849)</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3,247,651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3,675,151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86" w:lineRule="exact"/>
        <w:rPr>
          <w:sz w:val="20"/>
          <w:szCs w:val="20"/>
          <w:color w:val="auto"/>
        </w:rPr>
      </w:pPr>
    </w:p>
    <w:p>
      <w:pPr>
        <w:ind w:left="880" w:right="1039" w:hanging="426"/>
        <w:spacing w:after="0" w:line="216" w:lineRule="auto"/>
        <w:tabs>
          <w:tab w:leader="none" w:pos="847" w:val="left"/>
        </w:tabs>
        <w:numPr>
          <w:ilvl w:val="0"/>
          <w:numId w:val="35"/>
        </w:numPr>
        <w:rPr>
          <w:rFonts w:ascii="Arial" w:cs="Arial" w:eastAsia="Arial" w:hAnsi="Arial"/>
          <w:sz w:val="13"/>
          <w:szCs w:val="13"/>
          <w:color w:val="auto"/>
        </w:rPr>
      </w:pPr>
      <w:r>
        <w:rPr>
          <w:rFonts w:ascii="Arial" w:cs="Arial" w:eastAsia="Arial" w:hAnsi="Arial"/>
          <w:sz w:val="13"/>
          <w:szCs w:val="13"/>
          <w:color w:val="auto"/>
        </w:rPr>
        <w:t>Expenses applied against gross proceeds include offering expenses of $1,000,000 and underwriting commissions of $2,000,000 (excluding deferred underwriting fees). See “Use of Proceeds.”</w:t>
      </w:r>
    </w:p>
    <w:p>
      <w:pPr>
        <w:ind w:left="880" w:right="499" w:hanging="426"/>
        <w:spacing w:after="0" w:line="220" w:lineRule="auto"/>
        <w:tabs>
          <w:tab w:leader="none" w:pos="847" w:val="left"/>
        </w:tabs>
        <w:numPr>
          <w:ilvl w:val="0"/>
          <w:numId w:val="35"/>
        </w:numPr>
        <w:rPr>
          <w:rFonts w:ascii="Arial" w:cs="Arial" w:eastAsia="Arial" w:hAnsi="Arial"/>
          <w:sz w:val="13"/>
          <w:szCs w:val="13"/>
          <w:color w:val="auto"/>
        </w:rPr>
      </w:pPr>
      <w:r>
        <w:rPr>
          <w:rFonts w:ascii="Arial" w:cs="Arial" w:eastAsia="Arial" w:hAnsi="Arial"/>
          <w:sz w:val="13"/>
          <w:szCs w:val="13"/>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Class A common stock subject to redemption will be reduced by the amount of any such purchases, increasing the pro forma net tangible book value per share. See “Proposed Business — Effecting Our Initial Business Combination — Permitted Purchases of Our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6"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following table sets forth our capitalization at June 30, 2020, and as adjusted to give effect to the filing of our amended and restated certificate of incorporation, the sale of our units in this offering and the sale of the private placement warrants and the application of the estimated net proceeds derived from the sale of such securities, assuming no exercise by the underwriters of their over-allotment option:</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June 30, 2020</w:t>
            </w:r>
          </w:p>
        </w:tc>
      </w:tr>
      <w:tr>
        <w:trPr>
          <w:trHeight w:val="26"/>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52"/>
        </w:trPr>
        <w:tc>
          <w:tcPr>
            <w:tcW w:w="5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b w:val="1"/>
                <w:bCs w:val="1"/>
                <w:color w:val="auto"/>
              </w:rPr>
              <w:t>Actual</w:t>
            </w:r>
          </w:p>
        </w:tc>
        <w:tc>
          <w:tcPr>
            <w:tcW w:w="1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As Adjusted</w:t>
            </w:r>
          </w:p>
        </w:tc>
      </w:tr>
      <w:tr>
        <w:trPr>
          <w:trHeight w:val="26"/>
        </w:trPr>
        <w:tc>
          <w:tcPr>
            <w:tcW w:w="54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263"/>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(1)</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3,500,000</w:t>
            </w:r>
          </w:p>
        </w:tc>
        <w:tc>
          <w:tcPr>
            <w:tcW w:w="120" w:type="dxa"/>
            <w:vAlign w:val="bottom"/>
          </w:tcPr>
          <w:p>
            <w:pPr>
              <w:spacing w:after="0"/>
              <w:rPr>
                <w:sz w:val="24"/>
                <w:szCs w:val="24"/>
                <w:color w:val="auto"/>
              </w:rPr>
            </w:pPr>
          </w:p>
        </w:tc>
      </w:tr>
      <w:tr>
        <w:trPr>
          <w:trHeight w:val="188"/>
        </w:trPr>
        <w:tc>
          <w:tcPr>
            <w:tcW w:w="54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Class A common stock subject to possible redemption; -0- and</w:t>
            </w:r>
          </w:p>
        </w:tc>
        <w:tc>
          <w:tcPr>
            <w:tcW w:w="2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44"/>
        </w:trPr>
        <w:tc>
          <w:tcPr>
            <w:tcW w:w="5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9,252,349 shares, actual and as adjusted, respectively</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92,523,490</w:t>
            </w:r>
          </w:p>
        </w:tc>
        <w:tc>
          <w:tcPr>
            <w:tcW w:w="120" w:type="dxa"/>
            <w:vAlign w:val="bottom"/>
            <w:shd w:val="clear" w:color="auto" w:fill="CCEEFF"/>
          </w:tcPr>
          <w:p>
            <w:pPr>
              <w:spacing w:after="0"/>
              <w:rPr>
                <w:sz w:val="21"/>
                <w:szCs w:val="21"/>
                <w:color w:val="auto"/>
              </w:rPr>
            </w:pPr>
          </w:p>
        </w:tc>
      </w:tr>
      <w:tr>
        <w:trPr>
          <w:trHeight w:val="182"/>
        </w:trPr>
        <w:tc>
          <w:tcPr>
            <w:tcW w:w="5440" w:type="dxa"/>
            <w:vAlign w:val="bottom"/>
          </w:tcPr>
          <w:p>
            <w:pPr>
              <w:spacing w:after="0" w:line="182" w:lineRule="exact"/>
              <w:rPr>
                <w:sz w:val="20"/>
                <w:szCs w:val="20"/>
                <w:color w:val="auto"/>
              </w:rPr>
            </w:pPr>
            <w:r>
              <w:rPr>
                <w:rFonts w:ascii="Arial" w:cs="Arial" w:eastAsia="Arial" w:hAnsi="Arial"/>
                <w:sz w:val="18"/>
                <w:szCs w:val="18"/>
                <w:color w:val="auto"/>
              </w:rPr>
              <w:t>Preferred stock, $0.0001 par value, 1,000,000 shares authorized;</w:t>
            </w:r>
          </w:p>
        </w:tc>
        <w:tc>
          <w:tcPr>
            <w:tcW w:w="2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217"/>
        </w:trPr>
        <w:tc>
          <w:tcPr>
            <w:tcW w:w="5440" w:type="dxa"/>
            <w:vAlign w:val="bottom"/>
          </w:tcPr>
          <w:p>
            <w:pPr>
              <w:ind w:left="180"/>
              <w:spacing w:after="0"/>
              <w:rPr>
                <w:sz w:val="20"/>
                <w:szCs w:val="20"/>
                <w:color w:val="auto"/>
              </w:rPr>
            </w:pPr>
            <w:r>
              <w:rPr>
                <w:rFonts w:ascii="Arial" w:cs="Arial" w:eastAsia="Arial" w:hAnsi="Arial"/>
                <w:sz w:val="18"/>
                <w:szCs w:val="18"/>
                <w:color w:val="auto"/>
              </w:rPr>
              <w:t>none issued and outstanding, actual and as adjusted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5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5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100,000,000 shares</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authorized; -0- and 747,651 shares issued and outstanding</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(excluding -0- and 9,252,349 shares subject to possible</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24"/>
        </w:trPr>
        <w:tc>
          <w:tcPr>
            <w:tcW w:w="5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redemption), actual and as adjusted,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02"/>
        </w:trPr>
        <w:tc>
          <w:tcPr>
            <w:tcW w:w="544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10,000,000 shares</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40" w:type="dxa"/>
            <w:vAlign w:val="bottom"/>
          </w:tcPr>
          <w:p>
            <w:pPr>
              <w:ind w:left="180"/>
              <w:spacing w:after="0" w:line="202" w:lineRule="exact"/>
              <w:rPr>
                <w:sz w:val="20"/>
                <w:szCs w:val="20"/>
                <w:color w:val="auto"/>
              </w:rPr>
            </w:pPr>
            <w:r>
              <w:rPr>
                <w:rFonts w:ascii="Arial" w:cs="Arial" w:eastAsia="Arial" w:hAnsi="Arial"/>
                <w:sz w:val="18"/>
                <w:szCs w:val="18"/>
                <w:color w:val="auto"/>
              </w:rPr>
              <w:t>authorized; 2,875,000 and 2,500,000 shares issued and</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44"/>
        </w:trPr>
        <w:tc>
          <w:tcPr>
            <w:tcW w:w="5440" w:type="dxa"/>
            <w:vAlign w:val="bottom"/>
          </w:tcPr>
          <w:p>
            <w:pPr>
              <w:ind w:left="180"/>
              <w:spacing w:after="0"/>
              <w:rPr>
                <w:sz w:val="20"/>
                <w:szCs w:val="20"/>
                <w:color w:val="auto"/>
              </w:rPr>
            </w:pPr>
            <w:r>
              <w:rPr>
                <w:rFonts w:ascii="Arial" w:cs="Arial" w:eastAsia="Arial" w:hAnsi="Arial"/>
                <w:sz w:val="18"/>
                <w:szCs w:val="18"/>
                <w:color w:val="auto"/>
              </w:rPr>
              <w:t>outstanding, actual and as adjusted, respectively</w:t>
            </w:r>
            <w:r>
              <w:rPr>
                <w:rFonts w:ascii="Arial" w:cs="Arial" w:eastAsia="Arial" w:hAnsi="Arial"/>
                <w:sz w:val="20"/>
                <w:szCs w:val="20"/>
                <w:color w:val="auto"/>
                <w:vertAlign w:val="superscript"/>
              </w:rPr>
              <w:t>(3)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r>
      <w:tr>
        <w:trPr>
          <w:trHeight w:val="263"/>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24,712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5,001,185</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277"/>
        </w:trPr>
        <w:tc>
          <w:tcPr>
            <w:tcW w:w="5440" w:type="dxa"/>
            <w:vAlign w:val="bottom"/>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7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23,500</w:t>
            </w:r>
          </w:p>
        </w:tc>
        <w:tc>
          <w:tcPr>
            <w:tcW w:w="14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20" w:type="dxa"/>
            <w:vAlign w:val="bottom"/>
            <w:tcBorders>
              <w:top w:val="single" w:sz="8" w:color="CCEEFF"/>
            </w:tcBorders>
            <w:shd w:val="clear" w:color="auto" w:fill="CCEEFF"/>
          </w:tcPr>
          <w:p>
            <w:pPr>
              <w:spacing w:after="0"/>
              <w:rPr>
                <w:sz w:val="23"/>
                <w:szCs w:val="23"/>
                <w:color w:val="auto"/>
              </w:rPr>
            </w:pPr>
          </w:p>
        </w:tc>
      </w:tr>
      <w:tr>
        <w:trPr>
          <w:trHeight w:val="250"/>
        </w:trPr>
        <w:tc>
          <w:tcPr>
            <w:tcW w:w="544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23,500</w:t>
            </w:r>
          </w:p>
        </w:tc>
        <w:tc>
          <w:tcPr>
            <w:tcW w:w="100" w:type="dxa"/>
            <w:vAlign w:val="bottom"/>
          </w:tcPr>
          <w:p>
            <w:pPr>
              <w:spacing w:after="0"/>
              <w:rPr>
                <w:sz w:val="21"/>
                <w:szCs w:val="21"/>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101,023,500</w:t>
            </w:r>
          </w:p>
        </w:tc>
        <w:tc>
          <w:tcPr>
            <w:tcW w:w="120" w:type="dxa"/>
            <w:vAlign w:val="bottom"/>
          </w:tcPr>
          <w:p>
            <w:pPr>
              <w:spacing w:after="0"/>
              <w:rPr>
                <w:sz w:val="21"/>
                <w:szCs w:val="21"/>
                <w:color w:val="auto"/>
              </w:rPr>
            </w:pPr>
          </w:p>
        </w:tc>
      </w:tr>
      <w:tr>
        <w:trPr>
          <w:trHeight w:val="20"/>
        </w:trPr>
        <w:tc>
          <w:tcPr>
            <w:tcW w:w="5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73" w:lineRule="exact"/>
        <w:rPr>
          <w:sz w:val="20"/>
          <w:szCs w:val="20"/>
          <w:color w:val="auto"/>
        </w:rPr>
      </w:pPr>
    </w:p>
    <w:p>
      <w:pPr>
        <w:ind w:left="880" w:right="579" w:hanging="426"/>
        <w:spacing w:after="0" w:line="234" w:lineRule="auto"/>
        <w:tabs>
          <w:tab w:leader="none" w:pos="847" w:val="left"/>
        </w:tabs>
        <w:numPr>
          <w:ilvl w:val="0"/>
          <w:numId w:val="36"/>
        </w:numPr>
        <w:rPr>
          <w:rFonts w:ascii="Arial" w:cs="Arial" w:eastAsia="Arial" w:hAnsi="Arial"/>
          <w:sz w:val="12"/>
          <w:szCs w:val="12"/>
          <w:color w:val="auto"/>
        </w:rPr>
      </w:pPr>
      <w:r>
        <w:rPr>
          <w:rFonts w:ascii="Arial" w:cs="Arial" w:eastAsia="Arial" w:hAnsi="Arial"/>
          <w:sz w:val="12"/>
          <w:szCs w:val="12"/>
          <w:color w:val="auto"/>
        </w:rPr>
        <w:t>Our sponsor may loan us up to $200,000 under an unsecured promissory note to be used for a portion of the expenses of this offering. The “as adjusted” information gives effect to the repayment of any loans made under this note out of the proceeds from this offering and the sale of the private placement warrants. As of June 30, 2020, we had not borrowed any amounts under the promissory note.</w:t>
      </w:r>
    </w:p>
    <w:p>
      <w:pPr>
        <w:spacing w:after="0" w:line="1" w:lineRule="exact"/>
        <w:rPr>
          <w:rFonts w:ascii="Arial" w:cs="Arial" w:eastAsia="Arial" w:hAnsi="Arial"/>
          <w:sz w:val="12"/>
          <w:szCs w:val="12"/>
          <w:color w:val="auto"/>
        </w:rPr>
      </w:pPr>
    </w:p>
    <w:p>
      <w:pPr>
        <w:ind w:left="880" w:right="499" w:hanging="426"/>
        <w:spacing w:after="0" w:line="216" w:lineRule="auto"/>
        <w:tabs>
          <w:tab w:leader="none" w:pos="847" w:val="left"/>
        </w:tabs>
        <w:numPr>
          <w:ilvl w:val="0"/>
          <w:numId w:val="36"/>
        </w:numPr>
        <w:rPr>
          <w:rFonts w:ascii="Arial" w:cs="Arial" w:eastAsia="Arial" w:hAnsi="Arial"/>
          <w:sz w:val="13"/>
          <w:szCs w:val="13"/>
          <w:color w:val="auto"/>
        </w:rPr>
      </w:pPr>
      <w:r>
        <w:rPr>
          <w:rFonts w:ascii="Arial" w:cs="Arial" w:eastAsia="Arial" w:hAnsi="Arial"/>
          <w:sz w:val="13"/>
          <w:szCs w:val="13"/>
          <w:color w:val="auto"/>
        </w:rPr>
        <w:t>Upon the completion of our initial business combination, 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whereby redemptions cannot cause our net tangible assets to be less than $5,000,001.</w:t>
      </w:r>
    </w:p>
    <w:p>
      <w:pPr>
        <w:spacing w:after="0" w:line="2" w:lineRule="exact"/>
        <w:rPr>
          <w:rFonts w:ascii="Arial" w:cs="Arial" w:eastAsia="Arial" w:hAnsi="Arial"/>
          <w:sz w:val="13"/>
          <w:szCs w:val="13"/>
          <w:color w:val="auto"/>
        </w:rPr>
      </w:pPr>
    </w:p>
    <w:p>
      <w:pPr>
        <w:ind w:left="880" w:right="659" w:hanging="426"/>
        <w:spacing w:after="0" w:line="230" w:lineRule="auto"/>
        <w:tabs>
          <w:tab w:leader="none" w:pos="840" w:val="left"/>
        </w:tabs>
        <w:numPr>
          <w:ilvl w:val="0"/>
          <w:numId w:val="36"/>
        </w:numPr>
        <w:rPr>
          <w:rFonts w:ascii="Arial" w:cs="Arial" w:eastAsia="Arial" w:hAnsi="Arial"/>
          <w:sz w:val="13"/>
          <w:szCs w:val="13"/>
          <w:color w:val="auto"/>
        </w:rPr>
      </w:pPr>
      <w:r>
        <w:rPr>
          <w:rFonts w:ascii="Arial" w:cs="Arial" w:eastAsia="Arial" w:hAnsi="Arial"/>
          <w:sz w:val="13"/>
          <w:szCs w:val="13"/>
          <w:color w:val="auto"/>
        </w:rPr>
        <w:t>Actual share amount is prior to any forfeiture of founder shares and as adjusted amount assumes no exercise of the underwriters’ over-allotment option and forfeiture of an aggregate of 375,000 founder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0" w:name="page71"/>
    <w:bookmarkEnd w:id="70"/>
    <w:p>
      <w:pPr>
        <w:ind w:left="2320"/>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8"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We are a blank check company incorporated on June 25, 2020 as a Delaware corporation and formed for the purpose of effecting a merger, capital stock exchange, asset acquisition, stock purchase, reorganization or similar business combination with one or more businesses. We have not selected any specific business combination target and we have not, nor has anyone on our behalf, engaged in any substantive discussions directly or indirectly, with any business combination target with respect to an initial business combination with us. We may pursue an initial business combination target in any industry or geographic region. We intend to focus our search for an initial business combination in the biotechnology sector. We intend to effectuate our initial business combination using cash from the proceeds of this offering and the private placement of the private placement warrants, the proceeds of the sale of our shares in connection with our initial business combination (pursuant to forward purchase agreements or backstop agreements we may enter into following the consummation of this offering or otherwise), shares issued to the owners of the target, debt issued to bank or other lenders or the owners of the target, or a combination of the foregoing.</w:t>
      </w:r>
    </w:p>
    <w:p>
      <w:pPr>
        <w:spacing w:after="0" w:line="122" w:lineRule="exact"/>
        <w:rPr>
          <w:sz w:val="20"/>
          <w:szCs w:val="20"/>
          <w:color w:val="auto"/>
        </w:rPr>
      </w:pPr>
    </w:p>
    <w:p>
      <w:pPr>
        <w:ind w:left="460" w:right="839"/>
        <w:spacing w:after="0" w:line="246" w:lineRule="auto"/>
        <w:rPr>
          <w:sz w:val="20"/>
          <w:szCs w:val="20"/>
          <w:color w:val="auto"/>
        </w:rPr>
      </w:pPr>
      <w:r>
        <w:rPr>
          <w:rFonts w:ascii="Arial" w:cs="Arial" w:eastAsia="Arial" w:hAnsi="Arial"/>
          <w:sz w:val="18"/>
          <w:szCs w:val="18"/>
          <w:color w:val="auto"/>
        </w:rPr>
        <w:t>The issuance of additional shares in connection with a business combination to the owners of the target or other investors:</w:t>
      </w:r>
    </w:p>
    <w:p>
      <w:pPr>
        <w:spacing w:after="0" w:line="21" w:lineRule="exact"/>
        <w:rPr>
          <w:sz w:val="20"/>
          <w:szCs w:val="20"/>
          <w:color w:val="auto"/>
        </w:rPr>
      </w:pPr>
    </w:p>
    <w:p>
      <w:pPr>
        <w:ind w:left="1100" w:right="539" w:hanging="322"/>
        <w:spacing w:after="0" w:line="238"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common stock resulted in the issuance of Class A common stock on a greater than one-to-one basis upon conversion of the Class B common stock;</w:t>
      </w:r>
    </w:p>
    <w:p>
      <w:pPr>
        <w:spacing w:after="0" w:line="29"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shares of preferred stock are issued with rights senior to those afforded our Class A common stock;</w:t>
      </w:r>
    </w:p>
    <w:p>
      <w:pPr>
        <w:spacing w:after="0" w:line="7" w:lineRule="exact"/>
        <w:rPr>
          <w:rFonts w:ascii="Arial" w:cs="Arial" w:eastAsia="Arial" w:hAnsi="Arial"/>
          <w:sz w:val="18"/>
          <w:szCs w:val="18"/>
          <w:color w:val="auto"/>
        </w:rPr>
      </w:pPr>
    </w:p>
    <w:p>
      <w:pPr>
        <w:ind w:left="1100" w:right="719" w:hanging="322"/>
        <w:spacing w:after="0" w:line="238"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w:t>
      </w:r>
    </w:p>
    <w:p>
      <w:pPr>
        <w:spacing w:after="0" w:line="29" w:lineRule="exact"/>
        <w:rPr>
          <w:rFonts w:ascii="Arial" w:cs="Arial" w:eastAsia="Arial" w:hAnsi="Arial"/>
          <w:sz w:val="18"/>
          <w:szCs w:val="18"/>
          <w:color w:val="auto"/>
        </w:rPr>
      </w:pPr>
    </w:p>
    <w:p>
      <w:pPr>
        <w:ind w:left="1100" w:right="719" w:hanging="322"/>
        <w:spacing w:after="0" w:line="246" w:lineRule="auto"/>
        <w:tabs>
          <w:tab w:leader="none" w:pos="10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131"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Similarly, if we issue debt securities or otherwise incur significant debt to bank or other lenders or the owners of a target, it could result in:</w:t>
      </w:r>
    </w:p>
    <w:p>
      <w:pPr>
        <w:spacing w:after="0" w:line="21" w:lineRule="exact"/>
        <w:rPr>
          <w:sz w:val="20"/>
          <w:szCs w:val="20"/>
          <w:color w:val="auto"/>
        </w:rPr>
      </w:pPr>
    </w:p>
    <w:p>
      <w:pPr>
        <w:ind w:left="1100" w:right="109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21" w:lineRule="exact"/>
        <w:rPr>
          <w:rFonts w:ascii="Arial" w:cs="Arial" w:eastAsia="Arial" w:hAnsi="Arial"/>
          <w:sz w:val="18"/>
          <w:szCs w:val="18"/>
          <w:color w:val="auto"/>
        </w:rPr>
      </w:pPr>
    </w:p>
    <w:p>
      <w:pPr>
        <w:ind w:left="1100" w:right="639" w:hanging="322"/>
        <w:spacing w:after="0"/>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3" w:lineRule="exact"/>
        <w:rPr>
          <w:rFonts w:ascii="Arial" w:cs="Arial" w:eastAsia="Arial" w:hAnsi="Arial"/>
          <w:sz w:val="18"/>
          <w:szCs w:val="18"/>
          <w:color w:val="auto"/>
        </w:rPr>
      </w:pPr>
    </w:p>
    <w:p>
      <w:pPr>
        <w:ind w:left="1100" w:right="75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21" w:lineRule="exact"/>
        <w:rPr>
          <w:rFonts w:ascii="Arial" w:cs="Arial" w:eastAsia="Arial" w:hAnsi="Arial"/>
          <w:sz w:val="18"/>
          <w:szCs w:val="18"/>
          <w:color w:val="auto"/>
        </w:rPr>
      </w:pPr>
    </w:p>
    <w:p>
      <w:pPr>
        <w:ind w:left="1100" w:right="59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inability to pay dividends on our Class A common stock;</w:t>
      </w:r>
    </w:p>
    <w:p>
      <w:pPr>
        <w:spacing w:after="0" w:line="22" w:lineRule="exact"/>
        <w:rPr>
          <w:rFonts w:ascii="Arial" w:cs="Arial" w:eastAsia="Arial" w:hAnsi="Arial"/>
          <w:sz w:val="18"/>
          <w:szCs w:val="18"/>
          <w:color w:val="auto"/>
        </w:rPr>
      </w:pPr>
    </w:p>
    <w:p>
      <w:pPr>
        <w:jc w:val="both"/>
        <w:ind w:left="1100" w:right="499" w:hanging="322"/>
        <w:spacing w:after="0"/>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Class A common stock if declared, expenses, capital expenditures, acquisitions and other general corporate purposes;</w:t>
      </w:r>
    </w:p>
    <w:p>
      <w:pPr>
        <w:spacing w:after="0" w:line="27"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1" w:lineRule="exact"/>
        <w:rPr>
          <w:rFonts w:ascii="Arial" w:cs="Arial" w:eastAsia="Arial" w:hAnsi="Arial"/>
          <w:sz w:val="18"/>
          <w:szCs w:val="18"/>
          <w:color w:val="auto"/>
        </w:rPr>
      </w:pPr>
    </w:p>
    <w:p>
      <w:pPr>
        <w:ind w:left="1100" w:right="879" w:hanging="322"/>
        <w:spacing w:after="0" w:line="246" w:lineRule="auto"/>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 w:lineRule="exact"/>
        <w:rPr>
          <w:rFonts w:ascii="Arial" w:cs="Arial" w:eastAsia="Arial" w:hAnsi="Arial"/>
          <w:sz w:val="18"/>
          <w:szCs w:val="18"/>
          <w:color w:val="auto"/>
        </w:rPr>
      </w:pPr>
    </w:p>
    <w:p>
      <w:pPr>
        <w:ind w:left="1100" w:right="779" w:hanging="322"/>
        <w:spacing w:after="0"/>
        <w:tabs>
          <w:tab w:leader="none" w:pos="1039"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1" w:name="page72"/>
    <w:bookmarkEnd w:id="71"/>
    <w:p>
      <w:pPr>
        <w:ind w:left="460" w:right="479"/>
        <w:spacing w:after="0" w:line="238" w:lineRule="auto"/>
        <w:rPr>
          <w:sz w:val="20"/>
          <w:szCs w:val="20"/>
          <w:color w:val="auto"/>
        </w:rPr>
      </w:pPr>
      <w:r>
        <w:rPr>
          <w:rFonts w:ascii="Arial" w:cs="Arial" w:eastAsia="Arial" w:hAnsi="Arial"/>
          <w:sz w:val="18"/>
          <w:szCs w:val="18"/>
          <w:color w:val="auto"/>
        </w:rPr>
        <w:t>As indicated in the accompanying financial statements, at June 30, 2020, we had $25,000 in cash, deferred offering costs of $53,000, and a working capital deficit of $(29,500).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53"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6" w:lineRule="exact"/>
        <w:rPr>
          <w:sz w:val="20"/>
          <w:szCs w:val="20"/>
          <w:color w:val="auto"/>
        </w:rPr>
      </w:pPr>
    </w:p>
    <w:p>
      <w:pPr>
        <w:ind w:left="460" w:right="719"/>
        <w:spacing w:after="0"/>
        <w:rPr>
          <w:sz w:val="20"/>
          <w:szCs w:val="20"/>
          <w:color w:val="auto"/>
        </w:rPr>
      </w:pPr>
      <w:r>
        <w:rPr>
          <w:rFonts w:ascii="Arial" w:cs="Arial" w:eastAsia="Arial" w:hAnsi="Arial"/>
          <w:sz w:val="18"/>
          <w:szCs w:val="18"/>
          <w:color w:val="auto"/>
        </w:rPr>
        <w:t>Our liquidity needs have been satisfied prior to the completion of this offering through a capital contribution from our sponsor of $25,000 in exchange for the issuance of the founder shares to our sponsor and up to $200,000 in loans available from our sponsor.</w:t>
      </w:r>
    </w:p>
    <w:p>
      <w:pPr>
        <w:spacing w:after="0" w:line="135"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estimate that the net proceeds from the sale of the units in this offering and the sale of the private placement warrants for an aggregate purchase price of $ 4,000,000 (or $4,300,000 if the underwriters’ over-allotment option is exercised in full), after deducting offering expenses of approximately $1,000,000 and underwriting commissions of $2,000,000 (or $2,300,000 if the underwriters’ over-allotment option is exercised in full) (excluding deferred underwriting commissions of $3,500,000, or $4,025,000 if the underwriters’ over-allotment option is exercised in full), will be $101,000,000 (or $116,000,000 if the underwriters’ over-allotment option is exercised in full). $100,000,000 (or $115,000,000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approximately $1,000,000 will not be held in the trust account. In the event that our offering expenses exceed our estimate of $ 1,000,000,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32"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We intend to use substantially all of the funds held in the trust account, including any amounts representing interest earned on the trust account (excluding deferred underwriting commissions) to complete our initial business combination. We may withdraw interest to pay our taxes. We estimate our annual franchise tax obligations, based on the number of shares of our common stock authorized and outstanding after the completion of this offering, to be $200,000, which is the maximum amount of annual franchise taxes payable by us as a Delaware corporation per annum, which we may pay from funds from this offering held outside of the trust account or from interest earned on the funds held in the trust account and released to us for this purpose. Our annual income tax obligations will depend on the amount of interest and other income earned on the amounts held in the trust account. We expect the interest earned on the amount in the trust account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46" w:lineRule="exact"/>
        <w:rPr>
          <w:sz w:val="20"/>
          <w:szCs w:val="20"/>
          <w:color w:val="auto"/>
        </w:rPr>
      </w:pPr>
    </w:p>
    <w:p>
      <w:pPr>
        <w:ind w:left="460" w:right="539"/>
        <w:spacing w:after="0" w:line="253" w:lineRule="auto"/>
        <w:rPr>
          <w:sz w:val="20"/>
          <w:szCs w:val="20"/>
          <w:color w:val="auto"/>
        </w:rPr>
      </w:pPr>
      <w:r>
        <w:rPr>
          <w:rFonts w:ascii="Arial" w:cs="Arial" w:eastAsia="Arial" w:hAnsi="Arial"/>
          <w:sz w:val="17"/>
          <w:szCs w:val="17"/>
          <w:color w:val="auto"/>
        </w:rPr>
        <w:t>Prior to the completion of our initial business combination, we will have available to us the approximately $1,000,000 of proceeds held outside the trust account.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2" w:name="page73"/>
    <w:bookmarkEnd w:id="72"/>
    <w:p>
      <w:pPr>
        <w:ind w:left="460" w:right="479"/>
        <w:spacing w:after="0" w:line="235" w:lineRule="auto"/>
        <w:rPr>
          <w:sz w:val="20"/>
          <w:szCs w:val="20"/>
          <w:color w:val="auto"/>
        </w:rPr>
      </w:pPr>
      <w:r>
        <w:rPr>
          <w:rFonts w:ascii="Arial" w:cs="Arial" w:eastAsia="Arial" w:hAnsi="Arial"/>
          <w:sz w:val="18"/>
          <w:szCs w:val="18"/>
          <w:color w:val="auto"/>
        </w:rPr>
        <w:t>We do not believe we will need to raise additional funds following this offering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$ 1,500,000 of such loans may be convertible into warrants of the post business combination entity at a price of $1.50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32"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expect our primary liquidity requirements during that period to include approximately $500,000 for legal, accounting, due diligence, travel and other expenses associated with structuring, negotiating and documenting successful business combinations; $ 85,000 for legal and accounting fees related to regulatory reporting requirements; $75,000 for Nasdaq and other regulatory fees; $50,000 for consulting, travel and miscellaneous expenses incurred during the search for a business combination target; and approximately $25,000 for general working capital that will be used for miscellaneous expenses and reserves. We will also pay our sponsor $10,000 per month for office space, secretarial and administrative services provided to members of our management team subsequent to the closing of this offering.</w:t>
      </w:r>
    </w:p>
    <w:p>
      <w:pPr>
        <w:spacing w:after="0" w:line="139"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36" w:lineRule="exact"/>
        <w:rPr>
          <w:sz w:val="20"/>
          <w:szCs w:val="20"/>
          <w:color w:val="auto"/>
        </w:rPr>
      </w:pPr>
    </w:p>
    <w:p>
      <w:pPr>
        <w:ind w:left="460" w:right="579"/>
        <w:spacing w:after="0" w:line="235" w:lineRule="auto"/>
        <w:rPr>
          <w:sz w:val="20"/>
          <w:szCs w:val="20"/>
          <w:color w:val="auto"/>
        </w:rPr>
      </w:pPr>
      <w:r>
        <w:rPr>
          <w:rFonts w:ascii="Arial" w:cs="Arial" w:eastAsia="Arial" w:hAnsi="Arial"/>
          <w:sz w:val="18"/>
          <w:szCs w:val="18"/>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In addition, we intend to target businesses with enterprise values that are greater than we could acquire with the net proceeds of this offering and the sale of the private placement units, and, as a result, if the cash portion of the purchase price exceeds the amount available from the trust account, net of amounts needed to satisfy any redemptions by public shareholders, we may be required to seek additional financing to complete such proposed initial business combination. We may also obtain financing prior to the closing of our initial business combination to fund our working capital needs and transaction costs in connection with our search for and completion of our initial business combination. There is no limitation on our ability to raise funds through the issuance of equity or equity-linked securities or through loans, advances or other indebtedness in connection with our initial business combination, including pursuant to forward purchase agreements or backstop agreements we may enter into following consummation of this offering. Subject to compliance with applicable securities laws, we would only complete such financing simultaneously with the completion of our initial business combination. If we are unable to complete our initial business combination because we do not have sufficient funds available to us, we will be forced to cease operations and liquidate the trust account. In addition, following our initial business combination, if cash on hand is insufficient, we may need to obtain additional financing in order to meet our obligations.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3" w:name="page74"/>
    <w:bookmarkEnd w:id="73"/>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2021. Only in the event that we are deemed to be a large accelerated filer or an accelerated filer and no longer an emerging growth company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2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32" w:lineRule="exact"/>
        <w:rPr>
          <w:sz w:val="20"/>
          <w:szCs w:val="20"/>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39"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37"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80" w:lineRule="exact"/>
        <w:rPr>
          <w:sz w:val="20"/>
          <w:szCs w:val="20"/>
          <w:color w:val="auto"/>
        </w:rPr>
      </w:pPr>
    </w:p>
    <w:p>
      <w:pPr>
        <w:ind w:left="460" w:right="1059"/>
        <w:spacing w:after="0" w:line="271" w:lineRule="auto"/>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08"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As of June 30, 2020, we did not have any off-balance sheet arrangements as defined in Item 303(a) (4)(ii) of Regulation S-K and did not have any commitments or contractual obligations. No unaudited quarterly operating data is included in this prospectus as we have not conducted any operations to date.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w:t>
      </w:r>
    </w:p>
    <w:p>
      <w:pPr>
        <w:sectPr>
          <w:pgSz w:w="11900" w:h="16838" w:orient="portrait"/>
          <w:cols w:equalWidth="0" w:num="1">
            <w:col w:w="9019"/>
          </w:cols>
          <w:pgMar w:left="1440" w:top="333"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74" w:name="page75"/>
    <w:bookmarkEnd w:id="74"/>
    <w:p>
      <w:pPr>
        <w:ind w:left="460" w:right="479"/>
        <w:spacing w:after="0" w:line="238" w:lineRule="auto"/>
        <w:rPr>
          <w:sz w:val="20"/>
          <w:szCs w:val="20"/>
          <w:color w:val="auto"/>
        </w:rPr>
      </w:pPr>
      <w:r>
        <w:rPr>
          <w:rFonts w:ascii="Arial" w:cs="Arial" w:eastAsia="Arial" w:hAnsi="Arial"/>
          <w:sz w:val="18"/>
          <w:szCs w:val="18"/>
          <w:color w:val="auto"/>
        </w:rPr>
        <w:t>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24"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independent registered public accounting firm’s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General</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are a newly organized blank check company incorporated in June 2020 as a Delaware corporation for the purpose of effecting a merger, capital stock exchange, asset acquisition, stock purchase, reorganization or similar business combination with one or more businesses, which we refer to throughout this prospectus as our initial business combination. To date our efforts have been limited to organizational activities as well as activities related to this offering. We have not selected any specific business combination target and we have not, nor has anyone on our behalf, engaged in any substantive discussions, directly or indirectly, with any business combination target with respect to an initial business combination with us. While we may pursue an initial business combination target in any business industry or geographic region, we intend to capitalize on our management team’s background and experience to identify promising opportunities in the biotechnology sector.</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w:t>
      </w:r>
    </w:p>
    <w:p>
      <w:pPr>
        <w:spacing w:after="0" w:line="153"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were co-founded by Foresite Capital, an investment firm with over $2.6 billion in assets under management as of March 31, 2020 (”Foresite Capital”) and Jim Tananbaum, our President, Chief Executive Officer and a director. Foresite Capital, which is a member of our sponsor and is our affiliate, was established in 2011 by Jim Tananbaum and has been focused on therapeutic companies within the biotechnology sector.</w:t>
      </w:r>
    </w:p>
    <w:p>
      <w:pPr>
        <w:spacing w:after="0" w:line="135"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Since its establishment, Foresite Capital has led financings in numerous healthcare companies that have emerged or are emerging as leaders in their respective sectors of the healthcare economy using a systematic process for screening and evaluating potential investments that was designed to quickly identify compelling opportunities and eliminate unattractive opportunities as effectively as possible. We believe Foresite Capital’s combination of traditional investment management techniques with cutting edge tools and methods, its experience in multiple scientific fields (including biology, medicinal chemistry, physiology and pharmacology) and related areas (including reimbursement strategies, regulatory frameworks and processes) and its ability to collect and synthesize significant amounts of information (including academic research, medical journals, medical conference presentations, patent filings, regulatory actions and legal proceedings) and data (including genomic, clinical trial, laboratory, electronic health records, claims/billing, imaging and pathology) will provide us with deep functional expertise and diverse skill sets and contribute insights to each stage of the investment process.</w:t>
      </w:r>
    </w:p>
    <w:p>
      <w:pPr>
        <w:spacing w:after="0" w:line="125"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As an affiliate of Foresite Capital, we intend to draw upon its experience and networks, team-based and multidisciplinary investment process and substantial information resources to optimize the sourcing, evaluation, and growth acceleration of prospective target companies. We believe that Foresite Capital’s track record demonstrates the ability of the members of our management team and affiliates to find high quality investment opportunities and achieve liquidity in such investments. Foresite Capital considers investments in hundreds of companies each year and, since inception, has invested in 229 companies in various financing rounds, which can be summarized as follows:</w:t>
      </w:r>
    </w:p>
    <w:p>
      <w:pPr>
        <w:spacing w:after="0" w:line="14" w:lineRule="exact"/>
        <w:rPr>
          <w:sz w:val="20"/>
          <w:szCs w:val="20"/>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179 biotechnology companies;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30 crossover investments;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28 IPOs following crossover investments;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95 IPOs.</w:t>
      </w:r>
    </w:p>
    <w:p>
      <w:pPr>
        <w:spacing w:after="0" w:line="144" w:lineRule="exact"/>
        <w:rPr>
          <w:sz w:val="20"/>
          <w:szCs w:val="20"/>
          <w:color w:val="auto"/>
        </w:rPr>
      </w:pPr>
    </w:p>
    <w:p>
      <w:pPr>
        <w:ind w:left="460" w:right="1039"/>
        <w:spacing w:after="0" w:line="246" w:lineRule="auto"/>
        <w:rPr>
          <w:sz w:val="20"/>
          <w:szCs w:val="20"/>
          <w:color w:val="auto"/>
        </w:rPr>
      </w:pPr>
      <w:r>
        <w:rPr>
          <w:rFonts w:ascii="Arial" w:cs="Arial" w:eastAsia="Arial" w:hAnsi="Arial"/>
          <w:sz w:val="18"/>
          <w:szCs w:val="18"/>
          <w:color w:val="auto"/>
        </w:rPr>
        <w:t>We believe that biotechnology companies at the correct stage of development will see material benefits from being publicly traded.</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Investment Process and Competitive Advantages</w:t>
      </w:r>
    </w:p>
    <w:p>
      <w:pPr>
        <w:spacing w:after="0" w:line="166"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Since its inception, Foresite Capital has been developing what we believe to be a state-of-the-art information management system and analytical framework designed to capture, store and surface critical information that impacts target markets and companies when it is most useful. In addition to capturing and synthesizing external sources of information, Foresite Capital seeks to capture every material interaction with prospective and existing portfolio companies. Members of Foresite Capital’s investment team receive structured, detailed notes and updates (such as refined product development timelines and revised probabilities of technical success) from</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76" w:name="page77"/>
    <w:bookmarkEnd w:id="76"/>
    <w:p>
      <w:pPr>
        <w:ind w:left="460" w:right="599"/>
        <w:spacing w:after="0" w:line="238" w:lineRule="auto"/>
        <w:rPr>
          <w:sz w:val="20"/>
          <w:szCs w:val="20"/>
          <w:color w:val="auto"/>
        </w:rPr>
      </w:pPr>
      <w:r>
        <w:rPr>
          <w:rFonts w:ascii="Arial" w:cs="Arial" w:eastAsia="Arial" w:hAnsi="Arial"/>
          <w:sz w:val="18"/>
          <w:szCs w:val="18"/>
          <w:color w:val="auto"/>
        </w:rPr>
        <w:t>these interactions, which also flow to the firm’s detailed financial and investment models. We believe that access to Foresite Capital’s internal database of every company that it has interacted with since inception will provide a competitive advantage to identifying opportunities for the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Management Team</w:t>
      </w:r>
    </w:p>
    <w:p>
      <w:pPr>
        <w:spacing w:after="0" w:line="153" w:lineRule="exact"/>
        <w:rPr>
          <w:sz w:val="20"/>
          <w:szCs w:val="20"/>
          <w:color w:val="auto"/>
        </w:rPr>
      </w:pPr>
    </w:p>
    <w:p>
      <w:pPr>
        <w:ind w:left="460" w:right="559"/>
        <w:spacing w:after="0" w:line="257" w:lineRule="auto"/>
        <w:rPr>
          <w:sz w:val="20"/>
          <w:szCs w:val="20"/>
          <w:color w:val="auto"/>
        </w:rPr>
      </w:pPr>
      <w:r>
        <w:rPr>
          <w:rFonts w:ascii="Arial" w:cs="Arial" w:eastAsia="Arial" w:hAnsi="Arial"/>
          <w:sz w:val="17"/>
          <w:szCs w:val="17"/>
          <w:color w:val="auto"/>
        </w:rPr>
        <w:t>Our management team includes healthcare industry veterans who have started, built and/or financed multiple companies with revenue in excess of $1 billion, managed clinical development divisions, designed and managed large-scale data science and machine learning projects, and worked in healthcare venture capital, private equity, hedge funds, investment banking and consulting.</w:t>
      </w:r>
    </w:p>
    <w:p>
      <w:pPr>
        <w:spacing w:after="0" w:line="99"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b w:val="1"/>
          <w:bCs w:val="1"/>
          <w:color w:val="auto"/>
        </w:rPr>
        <w:t>Dr. Jim Tananbaum</w:t>
      </w:r>
      <w:r>
        <w:rPr>
          <w:rFonts w:ascii="Arial" w:cs="Arial" w:eastAsia="Arial" w:hAnsi="Arial"/>
          <w:sz w:val="18"/>
          <w:szCs w:val="18"/>
          <w:color w:val="auto"/>
        </w:rPr>
        <w:t>, President, Chief Executive Officer and Director. Dr. Jim Tananbaum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our President, Chief Executive Officer and a director since June 2020. He founded Foresite Capital in 2011 and has overseen the development of Foresite Capital’s team and systems. While at Harvard Business School in 1991, Dr. Tananbaum co-founded his first company, GelTex Pharmaceuticals (Nasdaq: GENZ). GelTex ultimately brought two drugs to market, and the company was acquired by Genzyme Corporation in 2000 for $1.4 billion. From 1991 to 1994, Dr. Tananbaum worked at Merck in marketing and had product management responsibilities for Prilosec. In 1994, Dr. Tananbaum decided to leave Merck and join Sierra Ventures, to start Sierra Ventures’ healthcare services investment practice. At Sierra Ventures, Dr. Tananbaum was responsible for leading the firm’s investments in Amerigroup (now Anthem Medicaid division) and Healtheon/WebMD, among others. In 1997, he cofounded his second company, Theravance, Inc. (initially called “Advanced Medicine”). As the founding CEO of Theravance, Dr. Tananbaum hired the company’s first approximately 175 employees and raised over $350 million of private capital. Theravance has since split into two companies, one of which is now part of GlaxoSmithKline’s respiratory franchise through a joint venture, Innoviva (Nasdaq: INVA), and the other, Theravance BioPharma, Inc. (Nasdaq: TBPH). Together, they have a combined market capitalization of $2.4 billion as of January 1, 2020. In 2000, Dr. Tananbaum co-founded Prospect Ventures II (and later III), which raised and deployed approximately $1 billion. During his time at Prospect, Dr. Tananbaum led numerous financings including Jazz Pharmaceuticals and Amira Pharmaceauticals. In 2010, Dr. Tananbaum decided to leave Prospect Ventures to create Foresite Capital. He sought to construct, from the ground up, an investment platform designed and optimized to invest specifically and exclusively in the modern health economy, based on his learnings and observations as a healthcare investor and entrepreneur over the preceding two decades. Dr. Tananbaum earned a BS and BSEE in applied math and electrical engineering/computer science from Yale, an MD from the Harvard-MIT HST program and an MBA from Harvard.</w:t>
      </w:r>
    </w:p>
    <w:p>
      <w:pPr>
        <w:spacing w:after="0" w:line="123"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color w:val="auto"/>
        </w:rPr>
        <w:t>Dennis Ryan</w:t>
      </w:r>
      <w:r>
        <w:rPr>
          <w:rFonts w:ascii="Arial" w:cs="Arial" w:eastAsia="Arial" w:hAnsi="Arial"/>
          <w:sz w:val="18"/>
          <w:szCs w:val="18"/>
          <w:color w:val="auto"/>
        </w:rPr>
        <w:t>, Chief Financial Officer. Dennis Ryan has been our Chief Financial Officer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Since 2011, Mr. Ryan has also led the Operations Group at Foresite Capital as Chief Financial Officer and Managing Director. Mr. Ryan has over thirty years of experience as a financial executive in the venture capital, private equity, investment and real estate industries. Mr. Ryan began his career with the international accounting firm KPMG (Peat, Marwick &amp; Mitchell). As a licensed certified public accountant (CPA - inactive) in California, Mr. Ryan has served as chief financial officer and senior executive in firms ranging from a publicly owned real estate investment trust (REIT), Western Properties Trust, to a sponsor of a series of venture debt funds, Lighthouse Capital Partners, to a start-up of investment funds, Berkeley Advisors Group. In his role as chief financial officer with these firms, his responsibilities included debt and equity financing, investment structuring, financial reporting, portfolio management and strategic planning. Mr. Ryan currently serves as Board President of Whistlestop, a non-profit providing transportation and nutrition services to seniors. He received a B.A. from University of California, Berkeley in Economics, and an M.B.A from the University of Santa Clara.</w:t>
      </w:r>
    </w:p>
    <w:p>
      <w:pPr>
        <w:spacing w:after="0" w:line="108" w:lineRule="exact"/>
        <w:rPr>
          <w:sz w:val="20"/>
          <w:szCs w:val="20"/>
          <w:color w:val="auto"/>
        </w:rPr>
      </w:pPr>
    </w:p>
    <w:p>
      <w:pPr>
        <w:jc w:val="both"/>
        <w:ind w:left="460" w:right="599"/>
        <w:spacing w:after="0" w:line="257" w:lineRule="auto"/>
        <w:rPr>
          <w:sz w:val="20"/>
          <w:szCs w:val="20"/>
          <w:color w:val="auto"/>
        </w:rPr>
      </w:pPr>
      <w:r>
        <w:rPr>
          <w:rFonts w:ascii="Arial" w:cs="Arial" w:eastAsia="Arial" w:hAnsi="Arial"/>
          <w:sz w:val="17"/>
          <w:szCs w:val="17"/>
          <w:b w:val="1"/>
          <w:bCs w:val="1"/>
          <w:color w:val="auto"/>
        </w:rPr>
        <w:t>Dr. Michael Rome</w:t>
      </w:r>
      <w:r>
        <w:rPr>
          <w:rFonts w:ascii="Arial" w:cs="Arial" w:eastAsia="Arial" w:hAnsi="Arial"/>
          <w:sz w:val="17"/>
          <w:szCs w:val="17"/>
          <w:color w:val="auto"/>
        </w:rPr>
        <w:t>, Vice President and Director. Dr. Michael Rome has been our Vice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a director on our board of directors since June 2020, and is a Managing Director at Foresite Capital. He joined Foresite Capital in 2016 and is active in the firm’s public and private market investments.</w:t>
      </w:r>
    </w:p>
    <w:p>
      <w:pPr>
        <w:spacing w:after="0" w:line="2" w:lineRule="exact"/>
        <w:rPr>
          <w:sz w:val="20"/>
          <w:szCs w:val="20"/>
          <w:color w:val="auto"/>
        </w:rPr>
      </w:pPr>
    </w:p>
    <w:p>
      <w:pPr>
        <w:ind w:left="460" w:right="519"/>
        <w:spacing w:after="0" w:line="251" w:lineRule="auto"/>
        <w:rPr>
          <w:sz w:val="20"/>
          <w:szCs w:val="20"/>
          <w:color w:val="auto"/>
        </w:rPr>
      </w:pPr>
      <w:r>
        <w:rPr>
          <w:rFonts w:ascii="Arial" w:cs="Arial" w:eastAsia="Arial" w:hAnsi="Arial"/>
          <w:sz w:val="17"/>
          <w:szCs w:val="17"/>
          <w:color w:val="auto"/>
        </w:rPr>
        <w:t>Dr. Rome has experience investing across diverse therapeutic areas and has board roles at Kinnate Biopharma, Phavaris B.V., and board observer roles (past and present) at Turning Point Therapeutics, Arcus Biosciences, Maze Therapeutics, and PACT Pharma. Prior to Foresite Capital from 2015 to 2016, he was an equity analyst at DAFNA Capital Management, a long-short healthcare hedge fund, where he analyzed fund positions and formulated investment ideas in small/midcap biotechnology companies. From 2014 to 2015, Dr. Rome worked in early-stage drug development for an academic start-up out of the California NanoSystems Institute at UCLA. He received his Ph.D. in Biochemistry from Caltech as an NSF graduate research fellow, and his B.S. in Molecular, Cell and Developmental Biology from UCLA. He has more than 12 years of experience as a research scientist and has authored numerous publications in top-tier biomedical research journals.</w:t>
      </w:r>
    </w:p>
    <w:p>
      <w:pPr>
        <w:sectPr>
          <w:pgSz w:w="11900" w:h="16838" w:orient="portrait"/>
          <w:cols w:equalWidth="0" w:num="1">
            <w:col w:w="9019"/>
          </w:cols>
          <w:pgMar w:left="1440" w:top="287" w:right="1440"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77" w:name="page78"/>
    <w:bookmarkEnd w:id="77"/>
    <w:p>
      <w:pPr>
        <w:ind w:left="460" w:right="499"/>
        <w:spacing w:after="0" w:line="237" w:lineRule="auto"/>
        <w:rPr>
          <w:sz w:val="20"/>
          <w:szCs w:val="20"/>
          <w:color w:val="auto"/>
        </w:rPr>
      </w:pPr>
      <w:r>
        <w:rPr>
          <w:rFonts w:ascii="Arial" w:cs="Arial" w:eastAsia="Arial" w:hAnsi="Arial"/>
          <w:sz w:val="18"/>
          <w:szCs w:val="18"/>
          <w:b w:val="1"/>
          <w:bCs w:val="1"/>
          <w:color w:val="auto"/>
        </w:rPr>
        <w:t>Dr. Vikram Bajaj</w:t>
      </w:r>
      <w:r>
        <w:rPr>
          <w:rFonts w:ascii="Arial" w:cs="Arial" w:eastAsia="Arial" w:hAnsi="Arial"/>
          <w:sz w:val="18"/>
          <w:szCs w:val="18"/>
          <w:color w:val="auto"/>
        </w:rPr>
        <w:t>, Director. Dr. Vikram Bajaj has been a director on our board of directors since June</w:t>
      </w:r>
      <w:r>
        <w:rPr>
          <w:rFonts w:ascii="Arial" w:cs="Arial" w:eastAsia="Arial" w:hAnsi="Arial"/>
          <w:sz w:val="18"/>
          <w:szCs w:val="18"/>
          <w:b w:val="1"/>
          <w:bCs w:val="1"/>
          <w:color w:val="auto"/>
        </w:rPr>
        <w:t xml:space="preserve"> </w:t>
      </w:r>
      <w:r>
        <w:rPr>
          <w:rFonts w:ascii="Arial" w:cs="Arial" w:eastAsia="Arial" w:hAnsi="Arial"/>
          <w:sz w:val="18"/>
          <w:szCs w:val="18"/>
          <w:color w:val="auto"/>
        </w:rPr>
        <w:t>2020, and is a Managing Director at Foresite Capital, evaluating and pursuing investments at the intersection of technology and life sciences, including personalized and precision healthcare. Prior to joining Foresite Capital, from 2016 to 2017, Dr. Bajaj was the Chief Scientific Officer of GRAIL, a life sciences company working to detect cancer early when it can be cured, and served on its Scientific Advisory Board. He is also the Co-Founder and former Chief Scientific officer of Verily (formerly Google Life Sciences) from 2013 to 2016, and served as Chair of its Scientific Advisory Board. A former academic principal investigator, Dr. Bajaj retains appointments as Associate Professor (Consulting) at the Stanford School of Medicine, and as an Affiliate Scientist of the Lawrence Berkeley National Laboratory and the University of California, Berkeley, for which he currently serves on the advisory board of the College of Chemistry. He is also currently an advisor to the Department of Defense through the Defense Science Board’s Task Force on Biology. Dr. Bajaj received a Ph.D. in physical chemistry from the Massachusetts Institute of Technology. His scientific and engineering awards include the Anatole Abragam Prize (2012), the R&amp;D 100 Award for the most promising commercialized technologies (2011 and 2013), and the Department of Energy’s LBL Innovation Grant (2013).</w:t>
      </w:r>
    </w:p>
    <w:p>
      <w:pPr>
        <w:spacing w:after="0" w:line="127" w:lineRule="exact"/>
        <w:rPr>
          <w:sz w:val="20"/>
          <w:szCs w:val="20"/>
          <w:color w:val="auto"/>
        </w:rPr>
      </w:pPr>
    </w:p>
    <w:p>
      <w:pPr>
        <w:ind w:left="460" w:right="559"/>
        <w:spacing w:after="0" w:line="249" w:lineRule="auto"/>
        <w:rPr>
          <w:sz w:val="20"/>
          <w:szCs w:val="20"/>
          <w:color w:val="auto"/>
        </w:rPr>
      </w:pPr>
      <w:r>
        <w:rPr>
          <w:rFonts w:ascii="Arial" w:cs="Arial" w:eastAsia="Arial" w:hAnsi="Arial"/>
          <w:sz w:val="17"/>
          <w:szCs w:val="17"/>
          <w:color w:val="auto"/>
        </w:rPr>
        <w:t>Our management team will also be supported by certain of Foresite Capital’s team of investment professionals, who will also serve as our non-executive officers and will assist us in our efforts to consummate our initial business combination, including Dr. Dorothy Margolskee, our Senior Advisor and a Managing Director of Foresite Capital. Dr. Margolskee joined Foresite Capital in 2012 and has overseen the development of Foresite Capital’s Clinical &amp; Research Analysis team. Dr. Margolskee has worked with Dr. Tananbaum for the last 17.5 years, previously at Prospect Ventures as a managing director in charge of research from 2001 to 2011, and now at Foresite Capital. In this capacity, she developed the Foresite Capital investment technical review process, rigorously analyzing biotechnology company portfolios on the basis of scientific validation, clinical efficacy and safety, manufacturing readiness and FDA regulatory risk. Dr. Margolskee had 15 years of drug development experience at Merck Research Labs from 1987 to 2001, ultimately becoming a senior vice president with responsibility for a wide variety of clinical development programs and project planning. In particular, she was deeply involved in the design and execution of several vaccine programs, including Gardisil, RotaTeq and Zostavax. Dr. Margolskee received an MRL Divisional Scientific Award in 1998 for developing one of Merck’s most successful drugs, Singulair. In addition, she led the team that designed and implemented the advanced AIDS program during the development of Crixivan, one of the first HIV protease inhibitors that revolutionized the treatment of HIV infection. Prior to joining Merck, Dr. Margolskee received an M.D. from Johns Hopkins Medical School where she was elected to Alpha Omega Alpha and a B.S. from Harvard University where she graduated summa cum laude. Dr. Margolskee is boarded in both Internal Medicine and Pulmonary, and completed her residency at the Johns Hopkins Hospital and fellowship training at UCSF.</w:t>
      </w:r>
    </w:p>
    <w:p>
      <w:pPr>
        <w:spacing w:after="0" w:line="34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Past performance of our management team does not guarantee either (i) success with respect to any business combination we may consummate or (ii) that we will be able to identify a suitable candidate for our initial business combination. You should not rely on the historical performance record of our management team or their respective affiliates or any related investment’s performance as indicative of our future performance of an investment in the company or the returns the company will, or is likely to, generate going forward. None of the members of our management team has any experience with blank check companies or special purpose acquisition companies. For more information on the experience and background of our management team, see the section entitled “Management.”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Industry Opportunity</w:t>
      </w:r>
    </w:p>
    <w:p>
      <w:pPr>
        <w:spacing w:after="0" w:line="166"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Our primary focus will be on the healthcare industry in the United States. We believe the healthcare industry, particularly the biotechnology sector, represents an enormous and growing target market with a large number of potential target acquisition opportunities. Overall, total U.S. national health expenditures currently exceed $3.6 trillion according to the Centers for Medicare and Medicaid Services, which also estimates that total healthcare spending will approach 20% of total U.S. Gross Domestic Product in 2028. In addition to these industry-wide dynamics in healthcare, specifically within biotechnology sector, the past decade has seen a shift in the research and development strategy of the Big Pharma companies to external innovation through licensing partnerships and strategic acquisitions, resulting in 1,195 M&amp;A transactions totaling $801 billion from 2015 to 2019 according to Evaluate Pharma, a data-driven pharma, biotechnology and medtech consultant. Furthermore, there has been a gradual increase in US Food and Drugs Administration (FDA) approval of new drugs, from 163 approvals between 2010 and 2014 to 220 approvals between 2015 and 2019. Total sales of prescription drugs worldwide were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8" w:name="page79"/>
    <w:bookmarkEnd w:id="78"/>
    <w:p>
      <w:pPr>
        <w:jc w:val="both"/>
        <w:ind w:left="460" w:right="579"/>
        <w:spacing w:after="0"/>
        <w:rPr>
          <w:sz w:val="20"/>
          <w:szCs w:val="20"/>
          <w:color w:val="auto"/>
        </w:rPr>
      </w:pPr>
      <w:r>
        <w:rPr>
          <w:rFonts w:ascii="Arial" w:cs="Arial" w:eastAsia="Arial" w:hAnsi="Arial"/>
          <w:sz w:val="18"/>
          <w:szCs w:val="18"/>
          <w:color w:val="auto"/>
        </w:rPr>
        <w:t>$843 billion in 2019 according to Evaluate Pharma. We believe that these trends present a favorable opportunity for investors in preclinical to pre-commercial companies within the biotechnology sector, which is where Foresite Capital has largely focused since inception.</w:t>
      </w:r>
    </w:p>
    <w:p>
      <w:pPr>
        <w:spacing w:after="0" w:line="122"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believe that there are major benefits for privately-held, pre-commercial stage biotechnology companies to become publicly-traded, including greater access to capital, broader investor base, more liquid securities, and increased market awareness. An acquisition by a special purpose acquisition company with a management team that is well-known and respected by biotechnology company founders, their investors, and management teams, we believe, will become a preferred route for a high quality private healthcare company to access the public markets. Furthermore, we believe that market volatility caused by the COVID-19 pandemic is likely to make such an on-ramp to the public markets even more attractive to private companies, as it promises more certainty about deal completion, a more efficient path to the public markets, and a defined investor base.</w:t>
      </w:r>
    </w:p>
    <w:p>
      <w:pPr>
        <w:spacing w:after="0" w:line="139"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addition, we believe that the current state of the biotechnology IPO market may enhance our ability to locate an attractive target. According to IBISWorld, in 2019, there were estimated to be approximately 9,500 biotechnology companies globally, only a fraction of which are publicly traded. These privately held biotechnology companies represent an enormous investment opportunity, and recent trends in equity capital markets continue to demonstrate their desire to access public capital. Since 2015, approximately $170 billion has been raised in the public equity markets by biotechnology companies, of which approximately $30 billion has been raised through IPOs by approximately 250 biotechnology companies.</w:t>
      </w:r>
    </w:p>
    <w:p>
      <w:pPr>
        <w:spacing w:after="0" w:line="140" w:lineRule="exact"/>
        <w:rPr>
          <w:sz w:val="20"/>
          <w:szCs w:val="20"/>
          <w:color w:val="auto"/>
        </w:rPr>
      </w:pPr>
    </w:p>
    <w:p>
      <w:pPr>
        <w:ind w:left="460" w:right="599"/>
        <w:spacing w:after="0" w:line="255" w:lineRule="auto"/>
        <w:rPr>
          <w:sz w:val="20"/>
          <w:szCs w:val="20"/>
          <w:color w:val="auto"/>
        </w:rPr>
      </w:pPr>
      <w:r>
        <w:rPr>
          <w:rFonts w:ascii="Arial" w:cs="Arial" w:eastAsia="Arial" w:hAnsi="Arial"/>
          <w:sz w:val="17"/>
          <w:szCs w:val="17"/>
          <w:color w:val="auto"/>
        </w:rPr>
        <w:t>We believe that there is tremendous investor demand for IPOs in the biotechnology sector and that the COVID-19 pandemic has led to a renewed appreciation of the critical contributions the biotechnology sector makes to society, which in turn will continue to fuel investor demand. Given our sponsor’s track record of identifying, evaluating, and investing in leading biotechnology companies, we believe a business combination target we identify will benefit by partnering with us to go public.</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Strategy</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As Foresite Capital’s affiliate, we will benefit from our access to Foresite Capital’s infrastructure, personnel, network and relationships. Foresite Capital’s investment team is in regular contact with entrepreneurs, key opinion leaders, management teams, and contacts in the venture capital and investment banking communities to source new deals. Our robust screening and due diligence process includes numerous meetings or calls with management and leverages Foresite’s expansive network of key opinion leaders, healthcare company executives, entrepreneurs and leading academics. Foresite Capital has invested heavily in its team, information management systems and data science infrastructure, which we expect will provide us with substantial sourcing and analytical capabilities, as well as other capabilities (including clinical development, translational medicine, chemistry, biostatistics and data science) that would ordinarily be outsourced to specialized third-party consultants. Prospective target companies will need to pass rigorous due diligence criteria, which may include, but are not limited to:</w:t>
      </w:r>
    </w:p>
    <w:p>
      <w:pPr>
        <w:spacing w:after="0" w:line="28" w:lineRule="exact"/>
        <w:rPr>
          <w:sz w:val="20"/>
          <w:szCs w:val="20"/>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Compelling risk/reward proposition;</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Potential market leading product;</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Addressing unmet medical need;</w:t>
      </w:r>
    </w:p>
    <w:p>
      <w:pPr>
        <w:spacing w:after="0" w:line="36" w:lineRule="exact"/>
        <w:rPr>
          <w:rFonts w:ascii="Arial" w:cs="Arial" w:eastAsia="Arial" w:hAnsi="Arial"/>
          <w:sz w:val="18"/>
          <w:szCs w:val="18"/>
          <w:color w:val="auto"/>
        </w:rPr>
      </w:pPr>
    </w:p>
    <w:p>
      <w:pPr>
        <w:jc w:val="both"/>
        <w:ind w:left="1100" w:right="1019" w:hanging="322"/>
        <w:spacing w:after="0"/>
        <w:tabs>
          <w:tab w:leader="none" w:pos="1039"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team that is ready for the public market (our management team has often previously worked with or known management of many of the companies in which they invest);</w:t>
      </w:r>
    </w:p>
    <w:p>
      <w:pPr>
        <w:spacing w:after="0" w:line="27"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Multiple assets to create value, looking for multiple shots on goal;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Top science and clinical leadership.</w:t>
      </w:r>
    </w:p>
    <w:p>
      <w:pPr>
        <w:spacing w:after="0" w:line="144"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Foresite Capital has carefully curated a multidisciplinary investment team with deep, diverse and complementary experience in order to identify emerging leaders across the health economy, develop comprehensive, 360-degree views of companies and their unique risks, and help portfolio companies achieve technical success and reach liquidity. We believe that this purpose-built structure and process reduces biases and asymmetric information flows that may hamper decisions to enter and exit investments in traditional fund structures. Our management team, through its members’ shared experience at Foresite Capital, has significant and coordinated expertise including: (1) clinical and product development experience, which enables deep understanding and evaluation of every aspect of development and regulatory processes; (2) comprehensive commercialization experience across multiple healthcare sectors, which allows the team to evaluate the entire lifecycle of product launch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79" w:name="page80"/>
    <w:bookmarkEnd w:id="79"/>
    <w:p>
      <w:pPr>
        <w:ind w:left="460" w:right="759"/>
        <w:spacing w:after="0" w:line="238" w:lineRule="auto"/>
        <w:rPr>
          <w:sz w:val="20"/>
          <w:szCs w:val="20"/>
          <w:color w:val="auto"/>
        </w:rPr>
      </w:pPr>
      <w:r>
        <w:rPr>
          <w:rFonts w:ascii="Arial" w:cs="Arial" w:eastAsia="Arial" w:hAnsi="Arial"/>
          <w:sz w:val="18"/>
          <w:szCs w:val="18"/>
          <w:color w:val="auto"/>
        </w:rPr>
        <w:t>market adoption, as well as opportunities and structures for partnership and acquisitions; and (3) broad financing experience across investment banking, buy-side investing and venture capital and private equity investing, which enables the team to evaluate IPO and buyout opportunities and structure terms based on a deep understanding of the entire financing lifecycle.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Acquisition and Diligence Process includes:</w:t>
      </w:r>
    </w:p>
    <w:p>
      <w:pPr>
        <w:spacing w:after="0" w:line="36" w:lineRule="exact"/>
        <w:rPr>
          <w:sz w:val="20"/>
          <w:szCs w:val="20"/>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Scientific and clinical analysis, with assessment of clinical and regulatory success factors;</w:t>
      </w:r>
    </w:p>
    <w:p>
      <w:pPr>
        <w:spacing w:after="0" w:line="36"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of market factors such as size, growth opportunity, competition, and development trends;</w:t>
      </w:r>
    </w:p>
    <w:p>
      <w:pPr>
        <w:spacing w:after="0" w:line="7"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Reimbursement review;</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Full review of proprietary technology content and intellectual property;</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Interviews with key opinion leaders, customers, competitors and industry experts;</w:t>
      </w:r>
    </w:p>
    <w:p>
      <w:pPr>
        <w:spacing w:after="0" w:line="22" w:lineRule="exact"/>
        <w:rPr>
          <w:rFonts w:ascii="Arial" w:cs="Arial" w:eastAsia="Arial" w:hAnsi="Arial"/>
          <w:sz w:val="18"/>
          <w:szCs w:val="18"/>
          <w:color w:val="auto"/>
        </w:rPr>
      </w:pPr>
    </w:p>
    <w:p>
      <w:pPr>
        <w:ind w:left="1100" w:right="113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Full financial evaluation including analysis of historical results and modeling of various scenarios including product launch forecasting;</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and evaluation of operations including R&amp;D, manufacturing, sales, and distribution;</w:t>
      </w:r>
    </w:p>
    <w:p>
      <w:pPr>
        <w:spacing w:after="0" w:line="36"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Identification of key milestones that will drive liquidity, and assessment of the likelihood of various paths to liquidity;</w:t>
      </w:r>
    </w:p>
    <w:p>
      <w:pPr>
        <w:spacing w:after="0" w:line="7" w:lineRule="exact"/>
        <w:rPr>
          <w:rFonts w:ascii="Arial" w:cs="Arial" w:eastAsia="Arial" w:hAnsi="Arial"/>
          <w:sz w:val="18"/>
          <w:szCs w:val="18"/>
          <w:color w:val="auto"/>
        </w:rPr>
      </w:pPr>
    </w:p>
    <w:p>
      <w:pPr>
        <w:ind w:left="1100" w:right="61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Preparation of a detailed financial forecast and potential cash-on-cash returns analysis using several scenarios of financial performance, structure and exit timing;</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Comparison of a company’s progress against tracked prior meetings and its competition; and</w:t>
      </w:r>
    </w:p>
    <w:p>
      <w:pPr>
        <w:spacing w:after="0" w:line="36" w:lineRule="exact"/>
        <w:rPr>
          <w:rFonts w:ascii="Arial" w:cs="Arial" w:eastAsia="Arial" w:hAnsi="Arial"/>
          <w:sz w:val="18"/>
          <w:szCs w:val="18"/>
          <w:color w:val="auto"/>
        </w:rPr>
      </w:pPr>
    </w:p>
    <w:p>
      <w:pPr>
        <w:ind w:left="1100" w:right="519" w:hanging="322"/>
        <w:spacing w:after="0" w:line="246" w:lineRule="auto"/>
        <w:tabs>
          <w:tab w:leader="none" w:pos="1039"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Analysis of relevant and available data using advanced data science techniques (for example, claims analysis to identify potential patient population).</w:t>
      </w:r>
    </w:p>
    <w:p>
      <w:pPr>
        <w:spacing w:after="0" w:line="11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management team will utilize the information management system of our affiliate, Foresite Capital, to track company progress, milestones, commercial KPIs, future financing needs and timing, action items, key risks and open items. Decisions to proceed with final negotiation and consummation of the initial business combination will be made by consensus of the management team after the completion of what we believe to be appropriate due diligence, which may encompass, among other things, meetings with incumbent management and employees, document reviews, interviews of customers and suppliers, inspections of facilities, as well as reviewing financial and other information which will be made available to us. The time required for the initial business combination to advance from sourcing to final approval will vary depending on the circumstances. If our management team or our affiliate, Foresite Capital, has been previously following a prospective target company and has identified key hurdles, open items, or pieces of data believed essential to making an investment, we will be able leverage these insights and move quickly when our requirements are met. These criteria are not intended to be exhaustive. Any evaluation relating to the merits of a particular initial business combination may be based, to the extent relevant, on these general guidelines as well as other considerations, factors and criteria that our management team may deem relevant. In the event that we decide to enter into our initial business combination with a target business that does not meet the above criteria and guidelines, we will disclose that the target business does not meet the above criteria in our stockholder communications related to our initial business combination, which, as discussed in this prospectus, would be in the form of proxy materials or tender offer documents, as applicable, that we would file with the SEC.</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66" w:lineRule="exact"/>
        <w:rPr>
          <w:sz w:val="20"/>
          <w:szCs w:val="20"/>
          <w:color w:val="auto"/>
        </w:rPr>
      </w:pPr>
    </w:p>
    <w:p>
      <w:pPr>
        <w:ind w:left="460" w:right="619"/>
        <w:spacing w:after="0" w:line="236" w:lineRule="auto"/>
        <w:rPr>
          <w:sz w:val="20"/>
          <w:szCs w:val="20"/>
          <w:color w:val="auto"/>
        </w:rPr>
      </w:pPr>
      <w:r>
        <w:rPr>
          <w:rFonts w:ascii="Arial" w:cs="Arial" w:eastAsia="Arial" w:hAnsi="Arial"/>
          <w:sz w:val="18"/>
          <w:szCs w:val="18"/>
          <w:color w:val="auto"/>
        </w:rPr>
        <w:t>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will obtain an opinion from an independent investment banking firm which is a member of FINRA or a valuation or appraisal firm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0" w:name="page81"/>
    <w:bookmarkEnd w:id="80"/>
    <w:p>
      <w:pPr>
        <w:ind w:left="460" w:right="479"/>
        <w:spacing w:after="0" w:line="249"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stockholders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target management team or stockholders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stockholders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stockholders immediately prior to our initial business combination could own less than a majority of our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331"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Securities Exchange Act of 1934, as amended, or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Sourcing of Potential Initial Business Combination Targets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a finder’s fee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by the company prior to, or for any services they render in order to effectuate, the completion of our initial business combination (regardless of the type of transaction that it is). In addition, commencing on the date of this prospectus, we will pay our sponsor $ 10,000 per month for office space, secretarial and administrative services provided to members of our management team. Any such payments prior to our initial business combination will be made from funds held outside the trust account. Other than the foregoing, there will be no finder’s fees, reimbursement, consulting fee,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w:t>
      </w:r>
    </w:p>
    <w:p>
      <w:pPr>
        <w:spacing w:after="0" w:line="14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executive officers or directors, or completing the business combination through a joint venture or other form of shared ownership with our sponsor, executive officers or directors. In the event we seek to complete an initial business combination with a target that is affiliated with our sponsor, executive officers or directors, we, or a committee of independent directors, would obtain an opinion from an independent investment banking firm which is a member of FINRA or a valuation or appraisal firm stating that such an initial business combination is fair to our company from a financial point of view.</w:t>
      </w:r>
    </w:p>
    <w:p>
      <w:pPr>
        <w:spacing w:after="0" w:line="127"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Members of our management team and our independent directors will directly or indirectly own founder shares and/or private placement warrants following this offering and, accordingly, may have a conflict of interest in determining whether a particular target business is an appropriate business with which to effectuate our initial</w:t>
      </w:r>
    </w:p>
    <w:p>
      <w:pPr>
        <w:sectPr>
          <w:pgSz w:w="11900" w:h="16838" w:orient="portrait"/>
          <w:cols w:equalWidth="0" w:num="1">
            <w:col w:w="9019"/>
          </w:cols>
          <w:pgMar w:left="1440" w:top="287" w:right="1440"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81" w:name="page82"/>
    <w:bookmarkEnd w:id="81"/>
    <w:p>
      <w:pPr>
        <w:ind w:left="460" w:right="519"/>
        <w:spacing w:after="0" w:line="238" w:lineRule="auto"/>
        <w:rPr>
          <w:sz w:val="20"/>
          <w:szCs w:val="20"/>
          <w:color w:val="auto"/>
        </w:rPr>
      </w:pPr>
      <w:r>
        <w:rPr>
          <w:rFonts w:ascii="Arial" w:cs="Arial" w:eastAsia="Arial" w:hAnsi="Arial"/>
          <w:sz w:val="18"/>
          <w:szCs w:val="18"/>
          <w:color w:val="auto"/>
        </w:rPr>
        <w:t>business combination. Further, each of 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24"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other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4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Position</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With funds available for a business combination initially in the amount of $96,500,000 (assuming no redemptions), after payment of $3,500,000 of deferred underwriting fees (or $110,975,000 (assuming no redemptions) after payment of $4,025,000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53"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29" w:lineRule="exact"/>
        <w:rPr>
          <w:sz w:val="20"/>
          <w:szCs w:val="20"/>
          <w:color w:val="auto"/>
        </w:rPr>
      </w:pPr>
    </w:p>
    <w:p>
      <w:pPr>
        <w:ind w:left="1100" w:right="499" w:hanging="322"/>
        <w:spacing w:after="0"/>
        <w:tabs>
          <w:tab w:leader="none" w:pos="10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27" w:lineRule="exact"/>
        <w:rPr>
          <w:rFonts w:ascii="Arial" w:cs="Arial" w:eastAsia="Arial" w:hAnsi="Arial"/>
          <w:sz w:val="18"/>
          <w:szCs w:val="18"/>
          <w:color w:val="auto"/>
        </w:rPr>
      </w:pPr>
    </w:p>
    <w:p>
      <w:pPr>
        <w:ind w:left="1100" w:right="1119" w:hanging="322"/>
        <w:spacing w:after="0" w:line="246" w:lineRule="auto"/>
        <w:tabs>
          <w:tab w:leader="none" w:pos="1039"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15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w:t>
      </w:r>
    </w:p>
    <w:p>
      <w:pPr>
        <w:sectPr>
          <w:pgSz w:w="11900" w:h="16838" w:orient="portrait"/>
          <w:cols w:equalWidth="0" w:num="1">
            <w:col w:w="9019"/>
          </w:cols>
          <w:pgMar w:left="1440" w:top="287" w:right="1440" w:bottom="1440" w:gutter="0" w:footer="0" w:header="0"/>
        </w:sectPr>
      </w:pP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82" w:name="page83"/>
    <w:bookmarkEnd w:id="82"/>
    <w:p>
      <w:pPr>
        <w:ind w:left="460" w:right="519"/>
        <w:spacing w:after="0"/>
        <w:rPr>
          <w:sz w:val="20"/>
          <w:szCs w:val="20"/>
          <w:color w:val="auto"/>
        </w:rPr>
      </w:pPr>
      <w:r>
        <w:rPr>
          <w:rFonts w:ascii="Arial" w:cs="Arial" w:eastAsia="Arial" w:hAnsi="Arial"/>
          <w:sz w:val="18"/>
          <w:szCs w:val="18"/>
          <w:color w:val="auto"/>
        </w:rPr>
        <w:t>subsequent to our initial business combination. Moreover, we cannot assure you that members of our management team will have significant experience or knowledge relating to the operations of the particular target business.</w:t>
      </w:r>
    </w:p>
    <w:p>
      <w:pPr>
        <w:spacing w:after="0" w:line="122"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135"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Stockholders May Not Have the Ability to Approve Our Initial Business Combination</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may conduct redemptions without a stockholder vote pursuant to the tender offer rules of the SEC subject to the provisions of our amended and restated certificate of incorporation. However, we will seek stockholder approval if it is required by law or applicable stock exchange rule, or we may decide to seek stockholder approval for business or other legal reasons.</w:t>
      </w:r>
    </w:p>
    <w:p>
      <w:pPr>
        <w:spacing w:after="0" w:line="124"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Presented in the table below is a graphic explanation of the types of initial business combinations we may consider and whether stockholder approval is currently required under Delaware law for each such transaction.</w:t>
      </w:r>
    </w:p>
    <w:p>
      <w:pPr>
        <w:spacing w:after="0" w:line="163"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WHETHER</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STOCKHOLDER</w:t>
            </w:r>
          </w:p>
        </w:tc>
      </w:tr>
      <w:tr>
        <w:trPr>
          <w:trHeight w:val="162"/>
        </w:trPr>
        <w:tc>
          <w:tcPr>
            <w:tcW w:w="6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APPROVAL IS</w:t>
            </w:r>
          </w:p>
        </w:tc>
      </w:tr>
      <w:tr>
        <w:trPr>
          <w:trHeight w:val="190"/>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TYPE OF TRANSACTION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REQUIRED</w:t>
            </w:r>
          </w:p>
        </w:tc>
      </w:tr>
      <w:tr>
        <w:trPr>
          <w:trHeight w:val="26"/>
        </w:trPr>
        <w:tc>
          <w:tcPr>
            <w:tcW w:w="6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Purchase of assets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No</w:t>
            </w:r>
          </w:p>
        </w:tc>
      </w:tr>
      <w:tr>
        <w:trPr>
          <w:trHeight w:val="257"/>
        </w:trPr>
        <w:tc>
          <w:tcPr>
            <w:tcW w:w="6900" w:type="dxa"/>
            <w:vAlign w:val="bottom"/>
            <w:gridSpan w:val="2"/>
          </w:tcPr>
          <w:p>
            <w:pPr>
              <w:spacing w:after="0"/>
              <w:rPr>
                <w:sz w:val="20"/>
                <w:szCs w:val="20"/>
                <w:color w:val="auto"/>
              </w:rPr>
            </w:pPr>
            <w:r>
              <w:rPr>
                <w:rFonts w:ascii="Arial" w:cs="Arial" w:eastAsia="Arial" w:hAnsi="Arial"/>
                <w:sz w:val="16"/>
                <w:szCs w:val="16"/>
                <w:color w:val="auto"/>
              </w:rPr>
              <w:t>Purchase of stock of target not involving a merger with the company</w:t>
            </w:r>
          </w:p>
        </w:tc>
        <w:tc>
          <w:tcPr>
            <w:tcW w:w="1200" w:type="dxa"/>
            <w:vAlign w:val="bottom"/>
          </w:tcPr>
          <w:p>
            <w:pPr>
              <w:jc w:val="center"/>
              <w:spacing w:after="0"/>
              <w:rPr>
                <w:sz w:val="20"/>
                <w:szCs w:val="20"/>
                <w:color w:val="auto"/>
              </w:rPr>
            </w:pPr>
            <w:r>
              <w:rPr>
                <w:rFonts w:ascii="Arial" w:cs="Arial" w:eastAsia="Arial" w:hAnsi="Arial"/>
                <w:sz w:val="18"/>
                <w:szCs w:val="18"/>
                <w:color w:val="auto"/>
              </w:rPr>
              <w:t>No</w:t>
            </w:r>
          </w:p>
        </w:tc>
      </w:tr>
      <w:tr>
        <w:trPr>
          <w:trHeight w:val="27"/>
        </w:trPr>
        <w:tc>
          <w:tcPr>
            <w:tcW w:w="6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63"/>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Merger of target into a subsidiary of the company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No</w:t>
            </w:r>
          </w:p>
        </w:tc>
      </w:tr>
      <w:tr>
        <w:trPr>
          <w:trHeight w:val="257"/>
        </w:trPr>
        <w:tc>
          <w:tcPr>
            <w:tcW w:w="6900" w:type="dxa"/>
            <w:vAlign w:val="bottom"/>
            <w:gridSpan w:val="2"/>
          </w:tcPr>
          <w:p>
            <w:pPr>
              <w:spacing w:after="0"/>
              <w:rPr>
                <w:sz w:val="20"/>
                <w:szCs w:val="20"/>
                <w:color w:val="auto"/>
              </w:rPr>
            </w:pPr>
            <w:r>
              <w:rPr>
                <w:rFonts w:ascii="Arial" w:cs="Arial" w:eastAsia="Arial" w:hAnsi="Arial"/>
                <w:sz w:val="16"/>
                <w:szCs w:val="16"/>
                <w:color w:val="auto"/>
              </w:rPr>
              <w:t>Merger of the company with a target</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Yes</w:t>
            </w:r>
          </w:p>
        </w:tc>
      </w:tr>
    </w:tbl>
    <w:p>
      <w:pPr>
        <w:spacing w:after="0" w:line="202" w:lineRule="exact"/>
        <w:rPr>
          <w:sz w:val="20"/>
          <w:szCs w:val="20"/>
          <w:color w:val="auto"/>
        </w:rPr>
      </w:pPr>
    </w:p>
    <w:p>
      <w:pPr>
        <w:ind w:left="460" w:right="1299"/>
        <w:spacing w:after="0" w:line="246" w:lineRule="auto"/>
        <w:rPr>
          <w:sz w:val="20"/>
          <w:szCs w:val="20"/>
          <w:color w:val="auto"/>
        </w:rPr>
      </w:pPr>
      <w:r>
        <w:rPr>
          <w:rFonts w:ascii="Arial" w:cs="Arial" w:eastAsia="Arial" w:hAnsi="Arial"/>
          <w:sz w:val="18"/>
          <w:szCs w:val="18"/>
          <w:color w:val="auto"/>
        </w:rPr>
        <w:t>Under Nasdaq’s listing rules, stockholder approval would be required for our initial business combination if, for example:</w:t>
      </w:r>
    </w:p>
    <w:p>
      <w:pPr>
        <w:spacing w:after="0" w:line="21" w:lineRule="exact"/>
        <w:rPr>
          <w:sz w:val="20"/>
          <w:szCs w:val="20"/>
          <w:color w:val="auto"/>
        </w:rPr>
      </w:pPr>
    </w:p>
    <w:p>
      <w:pPr>
        <w:ind w:left="1100" w:right="639" w:hanging="322"/>
        <w:spacing w:after="0" w:line="238" w:lineRule="auto"/>
        <w:tabs>
          <w:tab w:leader="none" w:pos="10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issue (other than in a public offering for cash) shares of common stock that will either (a) be equal to or in excess of 20% of the number of our shares of common stock then outstanding or (b) have voting power equal to or in excess of 20% of the voting power then outstanding;</w:t>
      </w:r>
    </w:p>
    <w:p>
      <w:pPr>
        <w:spacing w:after="0" w:line="15" w:lineRule="exact"/>
        <w:rPr>
          <w:rFonts w:ascii="Arial" w:cs="Arial" w:eastAsia="Arial" w:hAnsi="Arial"/>
          <w:sz w:val="18"/>
          <w:szCs w:val="18"/>
          <w:color w:val="auto"/>
        </w:rPr>
      </w:pPr>
    </w:p>
    <w:p>
      <w:pPr>
        <w:ind w:left="1100" w:right="659" w:hanging="322"/>
        <w:spacing w:after="0" w:line="236" w:lineRule="auto"/>
        <w:tabs>
          <w:tab w:leader="none" w:pos="10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of our directors, officers or substantial stockholders (as defined by Nasdaq rules) has a 5% or greater interest, directly or indirectly, in the target business or assets to be acquired and if the number of shares of common stock to be issued, or if the number of shares of common stock in which the securities may be convertible or exercisable, exceeds either (a) 1% of the number of shares of common stock or 1% of the voting power outstanding before the issuance in the case of any of our directors and officers and (b) 5% of the number of shares of common stock or 5% of the voting power outstanding before the issuance in the case of any substantial security holder; or</w:t>
      </w:r>
    </w:p>
    <w:p>
      <w:pPr>
        <w:spacing w:after="0" w:line="32" w:lineRule="exact"/>
        <w:rPr>
          <w:rFonts w:ascii="Arial" w:cs="Arial" w:eastAsia="Arial" w:hAnsi="Arial"/>
          <w:sz w:val="18"/>
          <w:szCs w:val="18"/>
          <w:color w:val="auto"/>
        </w:rPr>
      </w:pPr>
    </w:p>
    <w:p>
      <w:pPr>
        <w:ind w:left="1100" w:right="559" w:hanging="322"/>
        <w:spacing w:after="0" w:line="246" w:lineRule="auto"/>
        <w:tabs>
          <w:tab w:leader="none" w:pos="103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or potential issuance of common stock will result in our undergoing a change of control</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initial stockholders, directors, executive officers, advisors or their respective affiliates may purchase public shares or public warrants in privately negotiated transactions or in the open market either prior to or following the completion of our initial business combination. There is no limit on the number of shares our initial stockholders, directors, officers, advisors or their respective affiliates may purchase in such transactions, subject to compliance with applicable law and Nasdaq rules. However, they have no current commitments, plans or intentions to engage in such purchases or other transactions and have not formulated any terms or conditions for any such purchases or other transactions. None of the funds in the trust account will be used to purchase shares or public warrants in such transactions. If they engage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3" w:name="page84"/>
    <w:bookmarkEnd w:id="83"/>
    <w:p>
      <w:pPr>
        <w:ind w:left="460" w:right="559"/>
        <w:spacing w:after="0"/>
        <w:rPr>
          <w:sz w:val="20"/>
          <w:szCs w:val="20"/>
          <w:color w:val="auto"/>
        </w:rPr>
      </w:pPr>
      <w:r>
        <w:rPr>
          <w:rFonts w:ascii="Arial" w:cs="Arial" w:eastAsia="Arial" w:hAnsi="Arial"/>
          <w:sz w:val="18"/>
          <w:szCs w:val="18"/>
          <w:color w:val="auto"/>
        </w:rPr>
        <w:t>in such transactions, they will be restricted from making any such purchases when they are in possession of any material non-public information not disclosed to the seller or if such purchases are prohibited by Regulation M under the Exchange Act.</w:t>
      </w:r>
    </w:p>
    <w:p>
      <w:pPr>
        <w:spacing w:after="0" w:line="12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that our sponsor, initial stockholders, directors, officers, advisors or their respective affiliates purchase shares in privately negotiated transactions from public stockholders who have already elected to exercise their redemption rights, such selling stockholders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w:t>
      </w:r>
    </w:p>
    <w:p>
      <w:pPr>
        <w:spacing w:after="0" w:line="140" w:lineRule="exact"/>
        <w:rPr>
          <w:sz w:val="20"/>
          <w:szCs w:val="20"/>
          <w:color w:val="auto"/>
        </w:rPr>
      </w:pPr>
    </w:p>
    <w:p>
      <w:pPr>
        <w:ind w:left="460" w:right="499"/>
        <w:spacing w:after="0" w:line="251" w:lineRule="auto"/>
        <w:rPr>
          <w:sz w:val="20"/>
          <w:szCs w:val="20"/>
          <w:color w:val="auto"/>
        </w:rPr>
      </w:pPr>
      <w:r>
        <w:rPr>
          <w:rFonts w:ascii="Arial" w:cs="Arial" w:eastAsia="Arial" w:hAnsi="Arial"/>
          <w:sz w:val="17"/>
          <w:szCs w:val="17"/>
          <w:color w:val="auto"/>
        </w:rPr>
        <w:t>The purpose of any such purchases of shares could be to (i) vote such shares in favor of the business combination and thereby increase the likelihood of obtaining the requisite stockholder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In addition, if such purchases are made, the public “float” of our Class A common stock or public warrants may be reduced and the number of beneficial holders of our securities may be reduced, which may make it difficult to maintain or obtain the quotation, listing or trading of our securities on a national securities exchange.</w:t>
      </w:r>
    </w:p>
    <w:p>
      <w:pPr>
        <w:spacing w:after="0" w:line="124"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Our sponsor, initial stockholders, officers, directors and/or their respective affiliates anticipate that they may identify the stockholders with whom our initial stockholders, officers, directors or their respective affiliates may pursue privately negotiated purchases by either the stockholders contacting us directly or by our receipt of redemption requests submitted by stockholders (in the case of Class A common stock) following our mailing of proxy materials in connection with our initial business combination. To the extent that our sponsor, officers, directors, advisors or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but only if such shares have not already been voted at the stockholder meeting related to our initial business combination. Our sponsor, executive officers, directors, advisors or any of their affiliates will select which stockholders to purchase shares from based on a negotiated price and number of shares and any other factors that they may deem relevant, and will only purchase shares if such purchases comply with Regulation M under the Exchange Act and the other federal securities laws. Our sponsor, officers, directors and/or their respective affiliates will be restricted from making purchases of shares if the purchases would violate Section 9(a)(2) or Rule 10b-5 of the Exchange Act. We expect any such purchases will be reported pursuant to Section 13 and Section 16 of the Exchange Act to the extent such purchases are subject to such reporting requirements.</w:t>
      </w:r>
    </w:p>
    <w:p>
      <w:pPr>
        <w:spacing w:after="0" w:line="191" w:lineRule="exact"/>
        <w:rPr>
          <w:sz w:val="20"/>
          <w:szCs w:val="20"/>
          <w:color w:val="auto"/>
        </w:rPr>
      </w:pPr>
    </w:p>
    <w:p>
      <w:pPr>
        <w:ind w:left="460" w:right="1359"/>
        <w:spacing w:after="0" w:line="271" w:lineRule="auto"/>
        <w:rPr>
          <w:sz w:val="20"/>
          <w:szCs w:val="20"/>
          <w:color w:val="auto"/>
        </w:rPr>
      </w:pPr>
      <w:r>
        <w:rPr>
          <w:rFonts w:ascii="Arial" w:cs="Arial" w:eastAsia="Arial" w:hAnsi="Arial"/>
          <w:sz w:val="18"/>
          <w:szCs w:val="18"/>
          <w:b w:val="1"/>
          <w:bCs w:val="1"/>
          <w:i w:val="1"/>
          <w:iCs w:val="1"/>
          <w:color w:val="auto"/>
        </w:rPr>
        <w:t>Redemption Rights for Public Stockholders upon Completion of Our Initial Business Combination</w:t>
      </w:r>
    </w:p>
    <w:p>
      <w:pPr>
        <w:spacing w:after="0" w:line="108"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shares of Class A common stock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taxes, divided by the number of then outstanding public shares, subject to the limitations and on the conditions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may hold in connection with the completion of our initial business combination.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4" w:name="page85"/>
    <w:bookmarkEnd w:id="84"/>
    <w:p>
      <w:pPr>
        <w:ind w:left="460"/>
        <w:spacing w:after="0"/>
        <w:rPr>
          <w:sz w:val="20"/>
          <w:szCs w:val="20"/>
          <w:color w:val="auto"/>
        </w:rPr>
      </w:pPr>
      <w:r>
        <w:rPr>
          <w:rFonts w:ascii="Arial" w:cs="Arial" w:eastAsia="Arial" w:hAnsi="Arial"/>
          <w:sz w:val="18"/>
          <w:szCs w:val="18"/>
          <w:b w:val="1"/>
          <w:bCs w:val="1"/>
          <w:i w:val="1"/>
          <w:iCs w:val="1"/>
          <w:color w:val="auto"/>
        </w:rPr>
        <w:t>Limitations on Redemptions</w:t>
      </w:r>
    </w:p>
    <w:p>
      <w:pPr>
        <w:spacing w:after="0" w:line="16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Manner of Conducting Redemptions</w:t>
      </w:r>
    </w:p>
    <w:p>
      <w:pPr>
        <w:spacing w:after="0" w:line="15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either (i) in connection with a stockholder meeting called to approve the initial business combination or (ii) without a stockholder vote by means of a tender offer. The decision as to whether we will seek stockholder approval of a proposed initial business combination or conduct a tender offer will be made by us, solely in our discretion, and will be based on a variety of factors such as the timing of the transaction and whether the terms of the transaction would require us to seek stockholder approval under applicable law or stock exchange listing requirements. Asset acquisitions and stock purchases would not typically require stockholder approval while direct mergers with our company where we do not survive and any transactions where we issue more than 20% of our outstanding common stock or seek to amend our amended and restated certificate of incorporation would require stockholder approval. So long as we obtain and maintain a listing for our securities on Nasdaq, we will be required to comply with Nasdaq’s stockholder approval rules.</w:t>
      </w:r>
    </w:p>
    <w:p>
      <w:pPr>
        <w:spacing w:after="0" w:line="135"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requirement that we provide our public stockholders with the opportunity to redeem their public shares by one of the two methods listed above will be contained in provisions of our amended and restated certificate of incorporation and will apply whether or not we maintain our registration under the Exchange Act or our listing on Nasdaq. Such provisions of our amended and restated certificate of incorporation may be amended if approved by holders of 65% of our common stock entitled to vote thereon.</w:t>
      </w:r>
    </w:p>
    <w:p>
      <w:pPr>
        <w:spacing w:after="0" w:line="137"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If we provide our public stockholders with the opportunity to redeem their public shares in connection with a stockholder meeting, we will:</w:t>
      </w:r>
    </w:p>
    <w:p>
      <w:pPr>
        <w:spacing w:after="0" w:line="8" w:lineRule="exact"/>
        <w:rPr>
          <w:sz w:val="20"/>
          <w:szCs w:val="20"/>
          <w:color w:val="auto"/>
        </w:rPr>
      </w:pPr>
    </w:p>
    <w:p>
      <w:pPr>
        <w:ind w:left="1100" w:right="519" w:hanging="322"/>
        <w:spacing w:after="0"/>
        <w:tabs>
          <w:tab w:leader="none" w:pos="1039"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27" w:lineRule="exact"/>
        <w:rPr>
          <w:rFonts w:ascii="Arial" w:cs="Arial" w:eastAsia="Arial" w:hAnsi="Arial"/>
          <w:sz w:val="18"/>
          <w:szCs w:val="18"/>
          <w:color w:val="auto"/>
        </w:rPr>
      </w:pPr>
    </w:p>
    <w:p>
      <w:pPr>
        <w:ind w:left="1040" w:hanging="262"/>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44" w:lineRule="exact"/>
        <w:rPr>
          <w:sz w:val="20"/>
          <w:szCs w:val="20"/>
          <w:color w:val="auto"/>
        </w:rPr>
      </w:pPr>
    </w:p>
    <w:p>
      <w:pPr>
        <w:ind w:left="460" w:right="459"/>
        <w:spacing w:after="0" w:line="250" w:lineRule="auto"/>
        <w:rPr>
          <w:sz w:val="20"/>
          <w:szCs w:val="20"/>
          <w:color w:val="auto"/>
        </w:rPr>
      </w:pPr>
      <w:r>
        <w:rPr>
          <w:rFonts w:ascii="Arial" w:cs="Arial" w:eastAsia="Arial" w:hAnsi="Arial"/>
          <w:sz w:val="17"/>
          <w:szCs w:val="17"/>
          <w:color w:val="auto"/>
        </w:rPr>
        <w:t>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 Our initial stockholders will count towards this quorum and, pursuant to the letter agreement, our sponsor, officers and directors have agreed to vote any founder shares they hold and any public shares purchased during or after this offering (including in open market and privately-negotiated transactions) in favor of our initial business combination. For purposes of seeking approval of the majority of our outstanding shares of common stock voted, non-votes will have no effect on the approval of our initial business combination once a quorum is obtained. As a result, in addition to our initial stockholders’ founder shares, we would need only 3,750,001, or 37.5%, of the 10,000,000 public shares sold in this offering to be voted in favor of an initial business combination in order to have our initial business combination approved (assuming all outstanding shares are voted and the over-allotment option is not exercised). These quorum and voting thresholds, and the voting agreements of our initial stockholders, may make it more likely that we will consummate our initial business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5" w:name="page86"/>
    <w:bookmarkEnd w:id="85"/>
    <w:p>
      <w:pPr>
        <w:jc w:val="both"/>
        <w:ind w:left="460" w:right="719"/>
        <w:spacing w:after="0"/>
        <w:rPr>
          <w:sz w:val="20"/>
          <w:szCs w:val="20"/>
          <w:color w:val="auto"/>
        </w:rPr>
      </w:pPr>
      <w:r>
        <w:rPr>
          <w:rFonts w:ascii="Arial" w:cs="Arial" w:eastAsia="Arial" w:hAnsi="Arial"/>
          <w:sz w:val="18"/>
          <w:szCs w:val="18"/>
          <w:color w:val="auto"/>
        </w:rPr>
        <w:t>combination. Each public stockholder may elect to redeem its public shares irrespective of whether they vote for or against the proposed transaction or whether they were a stockholder on the record date for the stockholder meeting held to approve the proposed transaction.</w:t>
      </w:r>
    </w:p>
    <w:p>
      <w:pPr>
        <w:spacing w:after="0" w:line="122" w:lineRule="exact"/>
        <w:rPr>
          <w:sz w:val="20"/>
          <w:szCs w:val="20"/>
          <w:color w:val="auto"/>
        </w:rPr>
      </w:pPr>
    </w:p>
    <w:p>
      <w:pPr>
        <w:ind w:left="460" w:right="679"/>
        <w:spacing w:after="0" w:line="246" w:lineRule="auto"/>
        <w:rPr>
          <w:sz w:val="20"/>
          <w:szCs w:val="20"/>
          <w:color w:val="auto"/>
        </w:rPr>
      </w:pPr>
      <w:r>
        <w:rPr>
          <w:rFonts w:ascii="Arial" w:cs="Arial" w:eastAsia="Arial" w:hAnsi="Arial"/>
          <w:sz w:val="18"/>
          <w:szCs w:val="18"/>
          <w:color w:val="auto"/>
        </w:rPr>
        <w:t>If a stockholder vote is not required and we do not decide to hold a stockholder vote for business or other legal reasons, we will:</w:t>
      </w:r>
    </w:p>
    <w:p>
      <w:pPr>
        <w:spacing w:after="0" w:line="21" w:lineRule="exact"/>
        <w:rPr>
          <w:sz w:val="20"/>
          <w:szCs w:val="20"/>
          <w:color w:val="auto"/>
        </w:rPr>
      </w:pPr>
    </w:p>
    <w:p>
      <w:pPr>
        <w:ind w:left="1100" w:right="779" w:hanging="322"/>
        <w:spacing w:after="0" w:line="246" w:lineRule="auto"/>
        <w:tabs>
          <w:tab w:leader="none" w:pos="10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21" w:lineRule="exact"/>
        <w:rPr>
          <w:rFonts w:ascii="Arial" w:cs="Arial" w:eastAsia="Arial" w:hAnsi="Arial"/>
          <w:sz w:val="18"/>
          <w:szCs w:val="18"/>
          <w:color w:val="auto"/>
        </w:rPr>
      </w:pPr>
    </w:p>
    <w:p>
      <w:pPr>
        <w:ind w:left="1100" w:right="519" w:hanging="322"/>
        <w:spacing w:after="0" w:line="238" w:lineRule="auto"/>
        <w:tabs>
          <w:tab w:leader="none" w:pos="1039"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stockholders not tendering more than a specified number of public shares, which number will be based on the requirement that we may not redeem public shares in an amount that would cause our net tangible assets to be less than $5,000,001. If public stockholders tender more shares than we have offered to purchase, we will withdraw the tender offer and not complete the initial business combination.</w:t>
      </w:r>
    </w:p>
    <w:p>
      <w:pPr>
        <w:spacing w:after="0" w:line="140"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Upon the public announcement of our initial business combination, if we elect to conduct redemptions pursuant to the tender offer rules, we and our sponsor will terminate any plan established in accordance with Rule 10b5-1 to purchase shares of our Class A common stock in the open market, in order to comply with Rule 14e-5 under the Exchange Act.</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We believe that this will allow our transfer agent to efficiently process any redemptions without the need for further communication or action from the redeeming public stockholders, which could delay redemptions and result in additional administrative cost. If the proposed initial business combination is not approved and we continue to search for a target company, we will promptly return any certificates or shares delivered by public stockholders who elected to redeem their shares.</w:t>
      </w:r>
    </w:p>
    <w:p>
      <w:pPr>
        <w:spacing w:after="0" w:line="132"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amended and restated certificate of incorporation will provide that in no event will we redeem our public shares in an amount that would cause our net tangible assets to be less than $5,000,001. In addition, our proposed initial business combination may impose a minimum cash requirement for: (i) cash consideration to be paid to the target or its owners, (ii) cash for working capital or other general corporate purposes or (iii) the retention of cash to satisfy other conditions. In the event the aggregate cash consideration we would be required to pay for all shares of Class A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in connection with such initial business combination, and all shares of Class A common stock submitted for redemption will be returned to the holders thereof. We may, however, raise funds through the issuance of equity-linked securities or through loans, advances or other indebtedness in connection with our initial business combination, including pursuant to forward purchase agreements or backstop arrangements we may enter into following consummation of this offering, in order to, among other reasons, satisfy such net tangible assets or minimum cash requirements.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6" w:name="page87"/>
    <w:bookmarkEnd w:id="86"/>
    <w:p>
      <w:pPr>
        <w:ind w:left="460" w:right="739"/>
        <w:spacing w:after="0" w:line="271" w:lineRule="auto"/>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Stockholder Approval</w:t>
      </w:r>
    </w:p>
    <w:p>
      <w:pPr>
        <w:spacing w:after="0" w:line="108"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We believe this restriction will discourage stockholders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stockholder holding more than an aggregate of 20% of the shares sold in this offering could threaten to exercise its redemption rights if such holder’s shares are not purchased by us, our sponsor or our management at a premium to the then-current market price or on other undesirable terms. By limiting our stockholders’ ability to redeem no more than 20% of the shares sold in this offering without our prior consent, we believe we will limit the ability of a small group of stockholders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132" w:lineRule="exact"/>
        <w:rPr>
          <w:sz w:val="20"/>
          <w:szCs w:val="20"/>
          <w:color w:val="auto"/>
        </w:rPr>
      </w:pPr>
    </w:p>
    <w:p>
      <w:pPr>
        <w:ind w:left="460" w:right="879"/>
        <w:spacing w:after="0" w:line="246" w:lineRule="auto"/>
        <w:rPr>
          <w:sz w:val="20"/>
          <w:szCs w:val="20"/>
          <w:color w:val="auto"/>
        </w:rPr>
      </w:pPr>
      <w:r>
        <w:rPr>
          <w:rFonts w:ascii="Arial" w:cs="Arial" w:eastAsia="Arial" w:hAnsi="Arial"/>
          <w:sz w:val="18"/>
          <w:szCs w:val="18"/>
          <w:color w:val="auto"/>
        </w:rPr>
        <w:t>However, we would not be restricting our stockholders’ ability to vote all of their shares (including Excess Shares) for or against our initial business combination.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Delivering Stock Certificates in Connection with the Exercise of Redemption Rights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As described above, 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 In the event that a stockholder fails to comply with these or any other procedures disclosed in the proxy or tender offer materials, as applicable, its shares may not be redeemed. Given the relatively short exercise period, it is advisable for stockholders to use electronic delivery of their public shares.</w:t>
      </w:r>
    </w:p>
    <w:p>
      <w:pPr>
        <w:spacing w:after="0" w:line="14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There is a nominal cost associated with the above-referenced process and the act of certificating the shares or delivering them through the DWAC system. The transfer agent will typically charge the broker submitting or tendering shares a fee of approximately $80.00 and it would be up to the broker whether or not to pass this cost on to the redeeming holder. However, this fee would be incurred regardless of whether or not we require holders seeking to exercise redemption rights to submit or tender their shares. The need to deliver shares is a requirement of exercising redemption rights regardless of the timing of when such delivery must be effectuated.</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Any request to redeem such shares, once made, may be withdrawn at any time up to the date set forth in the proxy materials or tender offer documents, as applicable.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87" w:name="page88"/>
    <w:bookmarkEnd w:id="87"/>
    <w:p>
      <w:pPr>
        <w:ind w:left="460" w:right="519"/>
        <w:spacing w:after="0" w:line="238" w:lineRule="auto"/>
        <w:rPr>
          <w:sz w:val="20"/>
          <w:szCs w:val="20"/>
          <w:color w:val="auto"/>
        </w:rPr>
      </w:pPr>
      <w:r>
        <w:rPr>
          <w:rFonts w:ascii="Arial" w:cs="Arial" w:eastAsia="Arial" w:hAnsi="Arial"/>
          <w:sz w:val="18"/>
          <w:szCs w:val="18"/>
          <w:color w:val="auto"/>
        </w:rPr>
        <w:t>If our initial business combination is not approved or completed for any reason, then our public stockholders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24"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If our initial proposed initial business combination is not completed, we may continue to try to complete an initial business combination with a different target until 24 months from the closing of this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66" w:lineRule="exact"/>
        <w:rPr>
          <w:sz w:val="20"/>
          <w:szCs w:val="20"/>
          <w:color w:val="auto"/>
        </w:rPr>
      </w:pPr>
    </w:p>
    <w:p>
      <w:pPr>
        <w:ind w:left="460" w:right="499"/>
        <w:spacing w:after="0" w:line="250" w:lineRule="auto"/>
        <w:rPr>
          <w:sz w:val="20"/>
          <w:szCs w:val="20"/>
          <w:color w:val="auto"/>
        </w:rPr>
      </w:pPr>
      <w:r>
        <w:rPr>
          <w:rFonts w:ascii="Arial" w:cs="Arial" w:eastAsia="Arial" w:hAnsi="Arial"/>
          <w:sz w:val="17"/>
          <w:szCs w:val="17"/>
          <w:color w:val="auto"/>
        </w:rPr>
        <w:t>Our amended and restated certificate of incorporation provides that we will have only 24 months from the closing of this offering to complete our initial business combination. If we are unable to complete our initial business combination within such 24-month period from the closing of this offering or during any Extension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24-month time period or during any Extension Period.</w:t>
      </w:r>
    </w:p>
    <w:p>
      <w:pPr>
        <w:spacing w:after="0" w:line="334"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initial stockholders, sponsor, officers and directors have entered into a letter agreement with us, pursuant to which they have waived their rights to liquidating distributions from the trust account with respect to any founder shares they hold if we fail to complete our initial business combination within 24 months from the closing of this offering or during any Extension Period. However, if our initial stockholders, sponsor or management team acquire public shares in or after this offering, they will be entitled to liquidating distributions from the trust account with respect to such public shares if we fail to complete our initial business combination within the allotted 24-month time period.</w:t>
      </w:r>
    </w:p>
    <w:p>
      <w:pPr>
        <w:spacing w:after="0" w:line="12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Our initial stockholders, sponsor, officers and directors have agreed, pursuant to a letter agreement with us, that they will not propose any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unless we provide our public stockholders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not redeem our public shares in an amount that would cause our net tangible assets to be less than $5,000,001. If this optional redemption right is exercised with respect to an excessive number of public shares such that we cannot satisfy the net tangible asset requirement, we would not proceed with the amendment or the related redemption of our public shares at such time.</w:t>
      </w:r>
    </w:p>
    <w:p>
      <w:pPr>
        <w:spacing w:after="0" w:line="146"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approximately $1,000,000 of proceeds held outside the trust account, although we cannot assure you that there will be sufficient funds for such purpose. However, if those funds are not sufficient to cover the costs and expenses associated with implementing our plan of dissolution, to the extent that there is any interest accrued in the trust account not required to pay taxes, we may request the trustee to release to us an additional amount of up to $100,000 of such accrued interest to pay those costs and expenses.</w:t>
      </w:r>
    </w:p>
    <w:p>
      <w:pPr>
        <w:spacing w:after="0" w:line="135" w:lineRule="exact"/>
        <w:rPr>
          <w:sz w:val="20"/>
          <w:szCs w:val="20"/>
          <w:color w:val="auto"/>
        </w:rPr>
      </w:pPr>
    </w:p>
    <w:p>
      <w:pPr>
        <w:ind w:left="460" w:right="639"/>
        <w:spacing w:after="0" w:line="237" w:lineRule="auto"/>
        <w:rPr>
          <w:sz w:val="20"/>
          <w:szCs w:val="20"/>
          <w:color w:val="auto"/>
        </w:rPr>
      </w:pPr>
      <w:r>
        <w:rPr>
          <w:rFonts w:ascii="Arial" w:cs="Arial" w:eastAsia="Arial" w:hAnsi="Arial"/>
          <w:sz w:val="18"/>
          <w:szCs w:val="18"/>
          <w:color w:val="auto"/>
        </w:rPr>
        <w:t>If we were to expend all of the net proceeds of this offering and the sale of the private placement warrants, other than the proceeds deposited in the trust account, and without taking into account interest, if any, earned on the trust account and any tax payments or expenses for the dissolution of the trust, the per-share redemption amount received by stockholders upon our dissolution would be approximately $10.00. The proceeds deposited in the trust account could, however, become subject to the claims of our creditors which would have higher priority than the claims of our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8" w:name="page89"/>
    <w:bookmarkEnd w:id="88"/>
    <w:p>
      <w:pPr>
        <w:ind w:left="460" w:right="479"/>
        <w:spacing w:after="0" w:line="237" w:lineRule="auto"/>
        <w:rPr>
          <w:sz w:val="20"/>
          <w:szCs w:val="20"/>
          <w:color w:val="auto"/>
        </w:rPr>
      </w:pPr>
      <w:r>
        <w:rPr>
          <w:rFonts w:ascii="Arial" w:cs="Arial" w:eastAsia="Arial" w:hAnsi="Arial"/>
          <w:sz w:val="18"/>
          <w:szCs w:val="18"/>
          <w:color w:val="auto"/>
        </w:rPr>
        <w:t>public stockholders. We cannot assure you that the actual per-share redemption amount received by stockholders will not be substantially less than $10.00. Under Section 281(b) of the DGCL, our plan of dissolution must provide for all claims against us to be paid in full or make provision for payments to be made in full, as applicable, if there are sufficient assets. These claims must be paid or provided for before we make any distribution of our remaining assets to our stockholders. While we intend to pay such amounts, if any, we cannot assure you that we will have funds sufficient to pay or provide for all creditors’ claims.</w:t>
      </w:r>
    </w:p>
    <w:p>
      <w:pPr>
        <w:spacing w:after="0" w:line="108"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Although we will seek to have all vendors, service providers (other than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stockholders,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this offering and our independent registered public accounting firm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our initial business combination and redemptions could be reduced to less than $10.00 per public share. In such event, we may not be able to complete our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114"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less taxes payable,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89" w:name="page90"/>
    <w:bookmarkEnd w:id="89"/>
    <w:p>
      <w:pPr>
        <w:ind w:left="460" w:right="479"/>
        <w:spacing w:after="0" w:line="235"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this offering against certain liabilities, including liabilities under the Securities Act. We will have access to up to approximately $1,000,000 from the proceeds of this offering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stockholders who received funds from our trust account could be liable for claims made by creditors.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32" w:lineRule="exact"/>
        <w:rPr>
          <w:sz w:val="20"/>
          <w:szCs w:val="20"/>
          <w:color w:val="auto"/>
        </w:rPr>
      </w:pPr>
    </w:p>
    <w:p>
      <w:pPr>
        <w:ind w:left="460" w:right="479"/>
        <w:spacing w:after="0" w:line="251" w:lineRule="auto"/>
        <w:rPr>
          <w:sz w:val="20"/>
          <w:szCs w:val="20"/>
          <w:color w:val="auto"/>
        </w:rPr>
      </w:pPr>
      <w:r>
        <w:rPr>
          <w:rFonts w:ascii="Arial" w:cs="Arial" w:eastAsia="Arial" w:hAnsi="Arial"/>
          <w:sz w:val="17"/>
          <w:szCs w:val="17"/>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the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w:t>
      </w:r>
    </w:p>
    <w:p>
      <w:pPr>
        <w:spacing w:after="0" w:line="98"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 If we are unable to complete our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Accordingly, it is our intention to redeem our public shares as soon as reasonably possible following our 24</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month and, therefore, we do not intend to comply with those procedures. As such, our stockholders could potentially be liable for any claims to the extent of distributions received by them (but no more) and any liability of our stockholders may extend well beyond the third anniversary of such date.</w:t>
      </w:r>
    </w:p>
    <w:p>
      <w:pPr>
        <w:spacing w:after="0" w:line="142"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As described above, pursuant to the obligation contained in our underwriting agreement, we will seek to have all vendors, service providers, prospective target businesses or other entities with which we do business execute agreements with us waiving any right, title, interest or claim of any kind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90" w:name="page91"/>
    <w:bookmarkEnd w:id="90"/>
    <w:p>
      <w:pPr>
        <w:ind w:left="460" w:right="519"/>
        <w:spacing w:after="0" w:line="236" w:lineRule="auto"/>
        <w:rPr>
          <w:sz w:val="20"/>
          <w:szCs w:val="20"/>
          <w:color w:val="auto"/>
        </w:rPr>
      </w:pPr>
      <w:r>
        <w:rPr>
          <w:rFonts w:ascii="Arial" w:cs="Arial" w:eastAsia="Arial" w:hAnsi="Arial"/>
          <w:sz w:val="18"/>
          <w:szCs w:val="18"/>
          <w:color w:val="auto"/>
        </w:rPr>
        <w:t>in or to any monies held in the trust account. As a result of this obligation, the claims that could be made against us are significantly limited and the likelihood that any claim that would result in any liability extending to the trust account is remote. Further, our sponsor may be liable only to the extent necessary to ensure that the amounts in the trust account are not reduced below (i) $10.00 per public share or (ii) such lesser amount per public share held in the trust account as of the date of the liquidation of the trust account, due to reductions in value of the trust assets, in each case net of the amount of interest withdrawn to pay taxes and will not be liable as to any claims under our indemnity of the underwriters of this offering against certain liabilities, including liabilities under the Securities Act. In the event that an executed waiver is deemed to be unenforceable against a third party, our sponsor will not be responsible to the extent of any liability for such third-party claims.</w:t>
      </w:r>
    </w:p>
    <w:p>
      <w:pPr>
        <w:spacing w:after="0" w:line="12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we cannot assure you we will be able to return $10.00 per share to our public stockholders. Additionally, if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Furthermore, our board of directors may be viewed as having breached its fiduciary duty to our creditors and/or may have acted in bad faith, and thereby exposing itself and our company to claims of punitive damages, by paying public stockholders from the trust account prior to addressing the claims of creditors. We cannot assure you that claims will not be brought against us for these reasons.</w:t>
      </w:r>
    </w:p>
    <w:p>
      <w:pPr>
        <w:spacing w:after="0" w:line="14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Our public stockholders will be entitled to receive funds from the trust account only (i) in the event of the redemption of our public shares if we do not complete our initial business combination within 24 months from the closing of this offering, (ii) in connection with a stockholder vote to amend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or (iii) if they redeem their respective shares for cash upon the completion of our initial business combination. In no other circumstances will a stockholder have any right or interest of any kind to or in the trust account. In the event we seek stockholder approval in connection with our initial business combination, a stockholder’s voting in connection with the business combination alone will not result in a stockholder’s redeeming its shares to us for an applicable pro rata share of the trust account. Such stockholder must have also exercised its redemption rights described above. These provisions of our amended and restated certificate of incorporation, like all provisions of our amended and restated certificate of incorporation, may be amended with a stockholder vote.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91" w:name="page92"/>
    <w:bookmarkEnd w:id="91"/>
    <w:p>
      <w:pPr>
        <w:ind w:left="460" w:right="1119"/>
        <w:spacing w:after="0" w:line="271"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08" w:lineRule="exact"/>
        <w:rPr>
          <w:sz w:val="20"/>
          <w:szCs w:val="20"/>
          <w:color w:val="auto"/>
        </w:rPr>
      </w:pPr>
    </w:p>
    <w:p>
      <w:pPr>
        <w:ind w:left="460" w:right="539"/>
        <w:spacing w:after="0" w:line="261"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9019"/>
          </w:cols>
          <w:pgMar w:left="1440" w:top="3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4"/>
                <w:szCs w:val="14"/>
                <w:b w:val="1"/>
                <w:bCs w:val="1"/>
                <w:color w:val="auto"/>
              </w:rPr>
              <w:t>Redemptions in Connection</w:t>
            </w:r>
          </w:p>
        </w:tc>
        <w:tc>
          <w:tcPr>
            <w:tcW w:w="100" w:type="dxa"/>
            <w:vAlign w:val="bottom"/>
          </w:tcPr>
          <w:p>
            <w:pPr>
              <w:spacing w:after="0"/>
              <w:rPr>
                <w:sz w:val="14"/>
                <w:szCs w:val="14"/>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 Permitted Purchases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Redemptions if we fail to</w:t>
            </w:r>
          </w:p>
        </w:tc>
      </w:tr>
      <w:tr>
        <w:trPr>
          <w:trHeight w:val="162"/>
        </w:trPr>
        <w:tc>
          <w:tcPr>
            <w:tcW w:w="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with our Initial Business</w:t>
            </w:r>
          </w:p>
        </w:tc>
        <w:tc>
          <w:tcPr>
            <w:tcW w:w="100" w:type="dxa"/>
            <w:vAlign w:val="bottom"/>
          </w:tcPr>
          <w:p>
            <w:pPr>
              <w:spacing w:after="0"/>
              <w:rPr>
                <w:sz w:val="14"/>
                <w:szCs w:val="14"/>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Public Shares by our</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Complete an Initial Business</w:t>
            </w:r>
          </w:p>
        </w:tc>
      </w:tr>
      <w:tr>
        <w:trPr>
          <w:trHeight w:val="190"/>
        </w:trPr>
        <w:tc>
          <w:tcPr>
            <w:tcW w:w="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rPr>
              <w:t>Combination</w:t>
            </w:r>
          </w:p>
        </w:tc>
        <w:tc>
          <w:tcPr>
            <w:tcW w:w="100" w:type="dxa"/>
            <w:vAlign w:val="bottom"/>
          </w:tcPr>
          <w:p>
            <w:pPr>
              <w:spacing w:after="0"/>
              <w:rPr>
                <w:sz w:val="16"/>
                <w:szCs w:val="16"/>
                <w:color w:val="auto"/>
              </w:rPr>
            </w:pPr>
          </w:p>
        </w:tc>
        <w:tc>
          <w:tcPr>
            <w:tcW w:w="2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Affiliates</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rPr>
              <w:t>Combination</w:t>
            </w:r>
          </w:p>
        </w:tc>
      </w:tr>
      <w:tr>
        <w:trPr>
          <w:trHeight w:val="26"/>
        </w:trPr>
        <w:tc>
          <w:tcPr>
            <w:tcW w:w="2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195"/>
        </w:trPr>
        <w:tc>
          <w:tcPr>
            <w:tcW w:w="20" w:type="dxa"/>
            <w:vAlign w:val="bottom"/>
          </w:tcPr>
          <w:p>
            <w:pPr>
              <w:spacing w:after="0"/>
              <w:rPr>
                <w:sz w:val="16"/>
                <w:szCs w:val="16"/>
                <w:color w:val="auto"/>
              </w:rPr>
            </w:pPr>
          </w:p>
        </w:tc>
        <w:tc>
          <w:tcPr>
            <w:tcW w:w="1900" w:type="dxa"/>
            <w:vAlign w:val="bottom"/>
          </w:tcPr>
          <w:p>
            <w:pPr>
              <w:spacing w:after="0" w:line="195" w:lineRule="exact"/>
              <w:rPr>
                <w:sz w:val="20"/>
                <w:szCs w:val="20"/>
                <w:color w:val="auto"/>
              </w:rPr>
            </w:pPr>
            <w:r>
              <w:rPr>
                <w:rFonts w:ascii="Arial" w:cs="Arial" w:eastAsia="Arial" w:hAnsi="Arial"/>
                <w:sz w:val="18"/>
                <w:szCs w:val="18"/>
                <w:color w:val="auto"/>
              </w:rPr>
              <w:t>Redemptions at the</w:t>
            </w:r>
          </w:p>
        </w:tc>
        <w:tc>
          <w:tcPr>
            <w:tcW w:w="100" w:type="dxa"/>
            <w:vAlign w:val="bottom"/>
          </w:tcPr>
          <w:p>
            <w:pPr>
              <w:spacing w:after="0"/>
              <w:rPr>
                <w:sz w:val="16"/>
                <w:szCs w:val="16"/>
                <w:color w:val="auto"/>
              </w:rPr>
            </w:pPr>
          </w:p>
        </w:tc>
        <w:tc>
          <w:tcPr>
            <w:tcW w:w="1940" w:type="dxa"/>
            <w:vAlign w:val="bottom"/>
          </w:tcPr>
          <w:p>
            <w:pPr>
              <w:spacing w:after="0" w:line="195" w:lineRule="exact"/>
              <w:rPr>
                <w:sz w:val="20"/>
                <w:szCs w:val="20"/>
                <w:color w:val="auto"/>
              </w:rPr>
            </w:pPr>
            <w:r>
              <w:rPr>
                <w:rFonts w:ascii="Arial" w:cs="Arial" w:eastAsia="Arial" w:hAnsi="Arial"/>
                <w:sz w:val="18"/>
                <w:szCs w:val="18"/>
                <w:color w:val="auto"/>
              </w:rPr>
              <w:t>If we seek stockholder</w:t>
            </w:r>
          </w:p>
        </w:tc>
        <w:tc>
          <w:tcPr>
            <w:tcW w:w="100" w:type="dxa"/>
            <w:vAlign w:val="bottom"/>
          </w:tcPr>
          <w:p>
            <w:pPr>
              <w:spacing w:after="0"/>
              <w:rPr>
                <w:sz w:val="16"/>
                <w:szCs w:val="16"/>
                <w:color w:val="auto"/>
              </w:rPr>
            </w:pPr>
          </w:p>
        </w:tc>
        <w:tc>
          <w:tcPr>
            <w:tcW w:w="2060" w:type="dxa"/>
            <w:vAlign w:val="bottom"/>
          </w:tcPr>
          <w:p>
            <w:pPr>
              <w:spacing w:after="0" w:line="195" w:lineRule="exact"/>
              <w:rPr>
                <w:sz w:val="20"/>
                <w:szCs w:val="20"/>
                <w:color w:val="auto"/>
              </w:rPr>
            </w:pPr>
            <w:r>
              <w:rPr>
                <w:rFonts w:ascii="Arial" w:cs="Arial" w:eastAsia="Arial" w:hAnsi="Arial"/>
                <w:sz w:val="18"/>
                <w:szCs w:val="18"/>
                <w:color w:val="auto"/>
              </w:rPr>
              <w:t>If we are unable to</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time of our initial</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approval of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complete our initial</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business combination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business combination,</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business combination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may be made pursuant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our initial stockholders,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within 24 months from</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to a tender offer or in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directors, officers,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the closing of this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connection with a</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advisors or their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offering, we will redeem</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stockholder vote.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respective affiliates may</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all public shares at a per-</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 price will be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 public shares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share price, payable in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same whether we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in privately negotiated</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cash, equal to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conduct redemptions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or in the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aggregate amount, then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pursuant to a tender</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open market either prior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on deposit in the trust</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offer or in connection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to or following</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account (which is initially</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with a stockholder vote.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completion of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anticipated to be $10.00</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 either case, our</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business combination.</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per share), including</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8"/>
              </w:rPr>
              <w:t>public stockholders may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There is no limit to the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interest earned on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redeem their public</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prices that our initial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funds held in the trust</w:t>
            </w:r>
          </w:p>
        </w:tc>
      </w:tr>
      <w:tr>
        <w:trPr>
          <w:trHeight w:val="202"/>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8"/>
              </w:rPr>
              <w:t>shares for cash equal to</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stockholders, directors,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account and not</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aggregate amount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officers, advisors or</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previously released to us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then on deposit in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their respective affiliates</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to pay our taxes (less up</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trust account calculated</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may pay in these</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to $100,000 of interest to</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as of two business days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If they</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pay dissolution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prior to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engage in such</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expenses) divided by the</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consummation of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transactions, they will</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number of then</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initial business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be restricted from</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outstanding public</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combination (which is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making any such</w:t>
            </w:r>
          </w:p>
        </w:tc>
        <w:tc>
          <w:tcPr>
            <w:tcW w:w="2060" w:type="dxa"/>
            <w:vAlign w:val="bottom"/>
          </w:tcPr>
          <w:p>
            <w:pPr>
              <w:spacing w:after="0" w:line="202" w:lineRule="exact"/>
              <w:rPr>
                <w:sz w:val="20"/>
                <w:szCs w:val="20"/>
                <w:color w:val="auto"/>
              </w:rPr>
            </w:pPr>
            <w:r>
              <w:rPr>
                <w:rFonts w:ascii="Arial" w:cs="Arial" w:eastAsia="Arial" w:hAnsi="Arial"/>
                <w:sz w:val="18"/>
                <w:szCs w:val="18"/>
                <w:color w:val="auto"/>
              </w:rPr>
              <w:t>shares.</w:t>
            </w: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initially anticipated to be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when they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$10.00 per share),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are in possession of any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including interest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material nonpublic</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earned on the funds</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information not</w:t>
            </w:r>
          </w:p>
        </w:tc>
        <w:tc>
          <w:tcPr>
            <w:tcW w:w="2060" w:type="dxa"/>
            <w:vAlign w:val="bottom"/>
          </w:tcPr>
          <w:p>
            <w:pPr>
              <w:spacing w:after="0"/>
              <w:rPr>
                <w:sz w:val="17"/>
                <w:szCs w:val="17"/>
                <w:color w:val="auto"/>
              </w:rPr>
            </w:pPr>
          </w:p>
        </w:tc>
      </w:tr>
      <w:tr>
        <w:trPr>
          <w:trHeight w:val="202"/>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w w:val="99"/>
              </w:rPr>
              <w:t>held in the trust account</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disclosed to the seller or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and not previously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if such purchases are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released to us to pay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prohibited by Regulation</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our taxes, divided by</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M under the Exchange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the number of then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Act. We do not currently</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outstanding public</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anticipate that such</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shares, subject to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if any, would</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limitation that no</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constitute a tender offer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redemptions will take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subject to the tender</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place if all of the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offer rules under the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redemptions would</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Exchange Act or a</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cause our net tangible</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going-private</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assets to be less than</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transaction subject to</w:t>
            </w:r>
          </w:p>
        </w:tc>
        <w:tc>
          <w:tcPr>
            <w:tcW w:w="2060" w:type="dxa"/>
            <w:vAlign w:val="bottom"/>
          </w:tcPr>
          <w:p>
            <w:pPr>
              <w:spacing w:after="0"/>
              <w:rPr>
                <w:sz w:val="17"/>
                <w:szCs w:val="17"/>
                <w:color w:val="auto"/>
              </w:rPr>
            </w:pPr>
          </w:p>
        </w:tc>
      </w:tr>
      <w:tr>
        <w:trPr>
          <w:trHeight w:val="203"/>
        </w:trPr>
        <w:tc>
          <w:tcPr>
            <w:tcW w:w="1920" w:type="dxa"/>
            <w:vAlign w:val="bottom"/>
            <w:gridSpan w:val="2"/>
          </w:tcPr>
          <w:p>
            <w:pPr>
              <w:spacing w:after="0" w:line="202" w:lineRule="exact"/>
              <w:rPr>
                <w:sz w:val="20"/>
                <w:szCs w:val="20"/>
                <w:color w:val="auto"/>
              </w:rPr>
            </w:pPr>
            <w:r>
              <w:rPr>
                <w:rFonts w:ascii="Arial" w:cs="Arial" w:eastAsia="Arial" w:hAnsi="Arial"/>
                <w:sz w:val="18"/>
                <w:szCs w:val="18"/>
                <w:color w:val="auto"/>
              </w:rPr>
              <w:t>$5,000,001.</w:t>
            </w: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 going-private rules</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under the Exchange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Act; however, if the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purchasers determine at</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the time of any such</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that the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purchases are subject</w:t>
            </w:r>
          </w:p>
        </w:tc>
        <w:tc>
          <w:tcPr>
            <w:tcW w:w="20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to such rules, the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purchasers will be</w:t>
            </w:r>
          </w:p>
        </w:tc>
        <w:tc>
          <w:tcPr>
            <w:tcW w:w="20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140" w:type="dxa"/>
            <w:vAlign w:val="bottom"/>
            <w:gridSpan w:val="3"/>
          </w:tcPr>
          <w:p>
            <w:pPr>
              <w:ind w:left="100"/>
              <w:spacing w:after="0" w:line="202" w:lineRule="exact"/>
              <w:rPr>
                <w:sz w:val="20"/>
                <w:szCs w:val="20"/>
                <w:color w:val="auto"/>
              </w:rPr>
            </w:pPr>
            <w:r>
              <w:rPr>
                <w:rFonts w:ascii="Arial" w:cs="Arial" w:eastAsia="Arial" w:hAnsi="Arial"/>
                <w:sz w:val="18"/>
                <w:szCs w:val="18"/>
                <w:color w:val="auto"/>
              </w:rPr>
              <w:t>required to comply with</w:t>
            </w:r>
          </w:p>
        </w:tc>
        <w:tc>
          <w:tcPr>
            <w:tcW w:w="2060" w:type="dxa"/>
            <w:vAlign w:val="bottom"/>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140" w:type="dxa"/>
            <w:vAlign w:val="bottom"/>
            <w:gridSpan w:val="3"/>
          </w:tcPr>
          <w:p>
            <w:pPr>
              <w:ind w:left="100"/>
              <w:spacing w:after="0"/>
              <w:rPr>
                <w:sz w:val="20"/>
                <w:szCs w:val="20"/>
                <w:color w:val="auto"/>
              </w:rPr>
            </w:pPr>
            <w:r>
              <w:rPr>
                <w:rFonts w:ascii="Arial" w:cs="Arial" w:eastAsia="Arial" w:hAnsi="Arial"/>
                <w:sz w:val="18"/>
                <w:szCs w:val="18"/>
                <w:color w:val="auto"/>
              </w:rPr>
              <w:t>such rules.</w:t>
            </w:r>
          </w:p>
        </w:tc>
        <w:tc>
          <w:tcPr>
            <w:tcW w:w="2060" w:type="dxa"/>
            <w:vAlign w:val="bottom"/>
          </w:tcPr>
          <w:p>
            <w:pPr>
              <w:spacing w:after="0"/>
              <w:rPr>
                <w:sz w:val="18"/>
                <w:szCs w:val="18"/>
                <w:color w:val="auto"/>
              </w:rPr>
            </w:pPr>
          </w:p>
        </w:tc>
      </w:tr>
      <w:tr>
        <w:trPr>
          <w:trHeight w:val="418"/>
        </w:trPr>
        <w:tc>
          <w:tcPr>
            <w:tcW w:w="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40" w:type="dxa"/>
            <w:vAlign w:val="bottom"/>
            <w:gridSpan w:val="2"/>
          </w:tcPr>
          <w:p>
            <w:pPr>
              <w:jc w:val="right"/>
              <w:ind w:right="1724"/>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-1260475</wp:posOffset>
            </wp:positionH>
            <wp:positionV relativeFrom="paragraph">
              <wp:posOffset>-7620</wp:posOffset>
            </wp:positionV>
            <wp:extent cx="51435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2">
            <w:col w:w="2100" w:space="340"/>
            <w:col w:w="6579"/>
          </w:cols>
          <w:pgMar w:left="1440" w:top="333" w:right="1440" w:bottom="1440" w:gutter="0" w:footer="0" w:header="0"/>
          <w:type w:val="continuous"/>
        </w:sectPr>
      </w:pPr>
    </w:p>
    <w:bookmarkStart w:id="92" w:name="page93"/>
    <w:bookmarkEnd w:id="92"/>
    <w:p>
      <w:pPr>
        <w:spacing w:after="0" w:line="200" w:lineRule="exact"/>
        <w:rPr>
          <w:sz w:val="20"/>
          <w:szCs w:val="20"/>
          <w:color w:val="auto"/>
        </w:rPr>
      </w:pPr>
    </w:p>
    <w:p>
      <w:pPr>
        <w:spacing w:after="0" w:line="317"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Impact to remaining stockholders</w:t>
      </w:r>
    </w:p>
    <w:p>
      <w:pPr>
        <w:spacing w:after="0" w:line="20" w:lineRule="exact"/>
        <w:rPr>
          <w:sz w:val="20"/>
          <w:szCs w:val="20"/>
          <w:color w:val="auto"/>
        </w:rPr>
      </w:pPr>
      <w:r>
        <w:rPr>
          <w:sz w:val="20"/>
          <w:szCs w:val="20"/>
          <w:color w:val="auto"/>
        </w:rPr>
        <w:br w:type="column"/>
      </w:r>
    </w:p>
    <w:p>
      <w:pPr>
        <w:jc w:val="center"/>
        <w:spacing w:after="0" w:line="263" w:lineRule="auto"/>
        <w:rPr>
          <w:sz w:val="20"/>
          <w:szCs w:val="20"/>
          <w:color w:val="auto"/>
        </w:rPr>
      </w:pPr>
      <w:r>
        <w:rPr>
          <w:rFonts w:ascii="Arial" w:cs="Arial" w:eastAsia="Arial" w:hAnsi="Arial"/>
          <w:sz w:val="14"/>
          <w:szCs w:val="14"/>
          <w:b w:val="1"/>
          <w:bCs w:val="1"/>
          <w:color w:val="auto"/>
        </w:rPr>
        <w:t>Redemptions in Connection with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2261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The redemptions in connection with our initial business combination will reduce the book value per share for our remaining stockholders, who will bear the burden of the deferred underwriting commissions and interest withdrawn in order to pay our taxes (to the extent not paid from amounts accrued as interest on the funds held in the trust account).</w:t>
      </w:r>
    </w:p>
    <w:p>
      <w:pPr>
        <w:spacing w:after="0" w:line="20" w:lineRule="exact"/>
        <w:rPr>
          <w:sz w:val="20"/>
          <w:szCs w:val="20"/>
          <w:color w:val="auto"/>
        </w:rPr>
      </w:pPr>
      <w:r>
        <w:rPr>
          <w:sz w:val="20"/>
          <w:szCs w:val="20"/>
          <w:color w:val="auto"/>
        </w:rPr>
        <w:br w:type="column"/>
      </w:r>
    </w:p>
    <w:p>
      <w:pPr>
        <w:jc w:val="center"/>
        <w:ind w:left="40"/>
        <w:spacing w:after="0" w:line="263" w:lineRule="auto"/>
        <w:rPr>
          <w:sz w:val="20"/>
          <w:szCs w:val="20"/>
          <w:color w:val="auto"/>
        </w:rPr>
      </w:pPr>
      <w:r>
        <w:rPr>
          <w:rFonts w:ascii="Arial" w:cs="Arial" w:eastAsia="Arial" w:hAnsi="Arial"/>
          <w:sz w:val="14"/>
          <w:szCs w:val="14"/>
          <w:b w:val="1"/>
          <w:bCs w:val="1"/>
          <w:color w:val="auto"/>
        </w:rPr>
        <w:t>Other Permitted Purchases of Public Shares by our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12344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the permitted purchases described above are made, there would be no impact to our remaining stockholders because the purchase price would not be paid by us.</w:t>
      </w:r>
    </w:p>
    <w:p>
      <w:pPr>
        <w:spacing w:after="0" w:line="20" w:lineRule="exact"/>
        <w:rPr>
          <w:sz w:val="20"/>
          <w:szCs w:val="20"/>
          <w:color w:val="auto"/>
        </w:rPr>
      </w:pPr>
      <w:r>
        <w:rPr>
          <w:sz w:val="20"/>
          <w:szCs w:val="20"/>
          <w:color w:val="auto"/>
        </w:rPr>
        <w:br w:type="column"/>
      </w:r>
    </w:p>
    <w:p>
      <w:pPr>
        <w:jc w:val="center"/>
        <w:ind w:left="20" w:right="519"/>
        <w:spacing w:after="0" w:line="263" w:lineRule="auto"/>
        <w:rPr>
          <w:sz w:val="20"/>
          <w:szCs w:val="20"/>
          <w:color w:val="auto"/>
        </w:rPr>
      </w:pPr>
      <w:r>
        <w:rPr>
          <w:rFonts w:ascii="Arial" w:cs="Arial" w:eastAsia="Arial" w:hAnsi="Arial"/>
          <w:sz w:val="14"/>
          <w:szCs w:val="14"/>
          <w:b w:val="1"/>
          <w:bCs w:val="1"/>
          <w:color w:val="auto"/>
        </w:rPr>
        <w:t>Redemptions if we fail to Complete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13030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3" w:lineRule="exact"/>
        <w:rPr>
          <w:sz w:val="20"/>
          <w:szCs w:val="20"/>
          <w:color w:val="auto"/>
        </w:rPr>
      </w:pPr>
    </w:p>
    <w:p>
      <w:pPr>
        <w:ind w:right="479"/>
        <w:spacing w:after="0" w:line="236" w:lineRule="auto"/>
        <w:rPr>
          <w:sz w:val="20"/>
          <w:szCs w:val="20"/>
          <w:color w:val="auto"/>
        </w:rPr>
      </w:pPr>
      <w:r>
        <w:rPr>
          <w:rFonts w:ascii="Arial" w:cs="Arial" w:eastAsia="Arial" w:hAnsi="Arial"/>
          <w:sz w:val="18"/>
          <w:szCs w:val="18"/>
          <w:color w:val="auto"/>
        </w:rPr>
        <w:t>The redemption of our public shares if we fail to complete our initial business combination will reduce the book value per share for the shares held by our initial stockholders, who will be our only remaining stockholders after such redemptions.</w:t>
      </w:r>
    </w:p>
    <w:p>
      <w:pPr>
        <w:spacing w:after="0" w:line="1422" w:lineRule="exact"/>
        <w:rPr>
          <w:sz w:val="20"/>
          <w:szCs w:val="20"/>
          <w:color w:val="auto"/>
        </w:rPr>
      </w:pPr>
    </w:p>
    <w:p>
      <w:pPr>
        <w:sectPr>
          <w:pgSz w:w="11900" w:h="16838" w:orient="portrait"/>
          <w:cols w:equalWidth="0" w:num="4">
            <w:col w:w="2160" w:space="280"/>
            <w:col w:w="1920" w:space="100"/>
            <w:col w:w="1940" w:space="100"/>
            <w:col w:w="2519"/>
          </w:cols>
          <w:pgMar w:left="1440" w:top="302" w:right="1440" w:bottom="1440" w:gutter="0" w:footer="0" w:header="0"/>
        </w:sectPr>
      </w:pP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underwriters will not exercise their over-allotment option. None of the provisions of Rule 419 apply to our offering.</w:t>
      </w:r>
    </w:p>
    <w:p>
      <w:pPr>
        <w:spacing w:after="0" w:line="149" w:lineRule="exact"/>
        <w:rPr>
          <w:sz w:val="20"/>
          <w:szCs w:val="20"/>
          <w:color w:val="auto"/>
        </w:rPr>
      </w:pPr>
    </w:p>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2" w:right="1440" w:bottom="1440" w:gutter="0" w:footer="0" w:header="0"/>
          <w:type w:val="continuous"/>
        </w:sectPr>
      </w:pPr>
    </w:p>
    <w:p>
      <w:pPr>
        <w:spacing w:after="0" w:line="113" w:lineRule="exact"/>
        <w:rPr>
          <w:sz w:val="20"/>
          <w:szCs w:val="20"/>
          <w:color w:val="auto"/>
        </w:rPr>
      </w:pPr>
    </w:p>
    <w:p>
      <w:pPr>
        <w:ind w:left="640" w:hanging="179"/>
        <w:spacing w:after="0" w:line="301" w:lineRule="auto"/>
        <w:rPr>
          <w:sz w:val="20"/>
          <w:szCs w:val="20"/>
          <w:color w:val="auto"/>
        </w:rPr>
      </w:pPr>
      <w:r>
        <w:rPr>
          <w:rFonts w:ascii="Arial" w:cs="Arial" w:eastAsia="Arial" w:hAnsi="Arial"/>
          <w:sz w:val="17"/>
          <w:szCs w:val="17"/>
          <w:b w:val="1"/>
          <w:bCs w:val="1"/>
          <w:color w:val="auto"/>
        </w:rPr>
        <w:t>Escrow of offering proceeds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$100,000,000 of the net proceeds of this offering and the sale of the private placement warrants will be deposited into a trust account located in the United States with Continental Stock Transfer &amp; Trust Company acting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-915670</wp:posOffset>
            </wp:positionV>
            <wp:extent cx="187706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ind w:right="479"/>
        <w:spacing w:after="0" w:line="236" w:lineRule="auto"/>
        <w:rPr>
          <w:sz w:val="20"/>
          <w:szCs w:val="20"/>
          <w:color w:val="auto"/>
        </w:rPr>
      </w:pPr>
      <w:r>
        <w:rPr>
          <w:rFonts w:ascii="Arial" w:cs="Arial" w:eastAsia="Arial" w:hAnsi="Arial"/>
          <w:sz w:val="18"/>
          <w:szCs w:val="18"/>
          <w:color w:val="auto"/>
        </w:rPr>
        <w:t>Approximately $85,050,000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-1299845</wp:posOffset>
            </wp:positionV>
            <wp:extent cx="19456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3">
            <w:col w:w="2040" w:space="400"/>
            <w:col w:w="2880" w:space="160"/>
            <w:col w:w="3539"/>
          </w:cols>
          <w:pgMar w:left="1440" w:top="302" w:right="1440" w:bottom="1440" w:gutter="0" w:footer="0" w:header="0"/>
          <w:type w:val="continuous"/>
        </w:sectPr>
      </w:pPr>
    </w:p>
    <w:p>
      <w:pPr>
        <w:ind w:left="460"/>
        <w:spacing w:after="0"/>
        <w:tabs>
          <w:tab w:leader="none" w:pos="2420" w:val="left"/>
        </w:tabs>
        <w:rPr>
          <w:sz w:val="20"/>
          <w:szCs w:val="20"/>
          <w:color w:val="auto"/>
        </w:rPr>
      </w:pPr>
      <w:r>
        <w:rPr>
          <w:rFonts w:ascii="Arial" w:cs="Arial" w:eastAsia="Arial" w:hAnsi="Arial"/>
          <w:sz w:val="18"/>
          <w:szCs w:val="18"/>
          <w:b w:val="1"/>
          <w:bCs w:val="1"/>
          <w:color w:val="auto"/>
        </w:rPr>
        <w:t>Investment of net</w:t>
      </w:r>
      <w:r>
        <w:rPr>
          <w:sz w:val="20"/>
          <w:szCs w:val="20"/>
          <w:color w:val="auto"/>
        </w:rPr>
        <w:tab/>
      </w:r>
      <w:r>
        <w:rPr>
          <w:rFonts w:ascii="Arial" w:cs="Arial" w:eastAsia="Arial" w:hAnsi="Arial"/>
          <w:sz w:val="17"/>
          <w:szCs w:val="17"/>
          <w:color w:val="auto"/>
        </w:rPr>
        <w:t>$100,000,000 of the net proceeds of</w:t>
      </w:r>
    </w:p>
    <w:p>
      <w:pPr>
        <w:spacing w:after="0" w:line="18" w:lineRule="exact"/>
        <w:rPr>
          <w:sz w:val="20"/>
          <w:szCs w:val="20"/>
          <w:color w:val="auto"/>
        </w:rPr>
      </w:pPr>
    </w:p>
    <w:p>
      <w:pPr>
        <w:ind w:left="2440" w:hanging="1799"/>
        <w:spacing w:after="0" w:line="236" w:lineRule="auto"/>
        <w:tabs>
          <w:tab w:leader="none" w:pos="2420" w:val="left"/>
        </w:tabs>
        <w:rPr>
          <w:sz w:val="20"/>
          <w:szCs w:val="20"/>
          <w:color w:val="auto"/>
        </w:rPr>
      </w:pPr>
      <w:r>
        <w:rPr>
          <w:rFonts w:ascii="Arial" w:cs="Arial" w:eastAsia="Arial" w:hAnsi="Arial"/>
          <w:sz w:val="18"/>
          <w:szCs w:val="18"/>
          <w:b w:val="1"/>
          <w:bCs w:val="1"/>
          <w:color w:val="auto"/>
        </w:rPr>
        <w:t>proceeds</w:t>
      </w:r>
      <w:r>
        <w:rPr>
          <w:sz w:val="20"/>
          <w:szCs w:val="20"/>
          <w:color w:val="auto"/>
        </w:rPr>
        <w:tab/>
      </w:r>
      <w:r>
        <w:rPr>
          <w:rFonts w:ascii="Arial" w:cs="Arial" w:eastAsia="Arial" w:hAnsi="Arial"/>
          <w:sz w:val="18"/>
          <w:szCs w:val="18"/>
          <w:color w:val="auto"/>
        </w:rPr>
        <w:t>this offering and the sale of the private placement warrants held in trust will be invested only in U.S. government treasury obligations with a maturity of 185 days or less or in money market funds meeting certain conditions under Rule 2a-7 under the Investment Company Act which invest only in direct U.S. government treasury obligations.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519"/>
        <w:spacing w:after="0" w:line="236" w:lineRule="auto"/>
        <w:rPr>
          <w:sz w:val="20"/>
          <w:szCs w:val="20"/>
          <w:color w:val="auto"/>
        </w:rPr>
      </w:pPr>
      <w:r>
        <w:rPr>
          <w:rFonts w:ascii="Arial" w:cs="Arial" w:eastAsia="Arial" w:hAnsi="Arial"/>
          <w:sz w:val="18"/>
          <w:szCs w:val="18"/>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79" w:lineRule="exact"/>
        <w:rPr>
          <w:sz w:val="20"/>
          <w:szCs w:val="20"/>
          <w:color w:val="auto"/>
        </w:rPr>
      </w:pPr>
    </w:p>
    <w:p>
      <w:pPr>
        <w:sectPr>
          <w:pgSz w:w="11900" w:h="16838" w:orient="portrait"/>
          <w:cols w:equalWidth="0" w:num="2">
            <w:col w:w="5360" w:space="120"/>
            <w:col w:w="3539"/>
          </w:cols>
          <w:pgMar w:left="1440" w:top="302" w:right="1440" w:bottom="1440" w:gutter="0" w:footer="0" w:header="0"/>
          <w:type w:val="continuous"/>
        </w:sectPr>
      </w:pPr>
    </w:p>
    <w:p>
      <w:pPr>
        <w:ind w:left="460"/>
        <w:spacing w:after="0"/>
        <w:rPr>
          <w:sz w:val="20"/>
          <w:szCs w:val="20"/>
          <w:color w:val="auto"/>
        </w:rPr>
      </w:pPr>
      <w:r>
        <w:rPr>
          <w:rFonts w:ascii="Arial" w:cs="Arial" w:eastAsia="Arial" w:hAnsi="Arial"/>
          <w:sz w:val="18"/>
          <w:szCs w:val="18"/>
          <w:b w:val="1"/>
          <w:bCs w:val="1"/>
          <w:color w:val="auto"/>
        </w:rPr>
        <w:t xml:space="preserve">Receipt of interest on  </w:t>
      </w:r>
      <w:r>
        <w:rPr>
          <w:rFonts w:ascii="Arial" w:cs="Arial" w:eastAsia="Arial" w:hAnsi="Arial"/>
          <w:sz w:val="18"/>
          <w:szCs w:val="18"/>
          <w:color w:val="auto"/>
        </w:rPr>
        <w:t>Interest on proceeds from the trust</w:t>
      </w:r>
    </w:p>
    <w:p>
      <w:pPr>
        <w:spacing w:after="0" w:line="18" w:lineRule="exact"/>
        <w:rPr>
          <w:sz w:val="20"/>
          <w:szCs w:val="20"/>
          <w:color w:val="auto"/>
        </w:rPr>
      </w:pPr>
    </w:p>
    <w:p>
      <w:pPr>
        <w:ind w:left="2440" w:hanging="1803"/>
        <w:spacing w:after="0" w:line="236" w:lineRule="auto"/>
        <w:tabs>
          <w:tab w:leader="none" w:pos="2420" w:val="left"/>
        </w:tabs>
        <w:rPr>
          <w:sz w:val="20"/>
          <w:szCs w:val="20"/>
          <w:color w:val="auto"/>
        </w:rPr>
      </w:pPr>
      <w:r>
        <w:rPr>
          <w:rFonts w:ascii="Arial" w:cs="Arial" w:eastAsia="Arial" w:hAnsi="Arial"/>
          <w:sz w:val="18"/>
          <w:szCs w:val="18"/>
          <w:b w:val="1"/>
          <w:bCs w:val="1"/>
          <w:color w:val="auto"/>
        </w:rPr>
        <w:t>escrowed funds</w:t>
      </w:r>
      <w:r>
        <w:rPr>
          <w:sz w:val="20"/>
          <w:szCs w:val="20"/>
          <w:color w:val="auto"/>
        </w:rPr>
        <w:tab/>
      </w:r>
      <w:r>
        <w:rPr>
          <w:rFonts w:ascii="Arial" w:cs="Arial" w:eastAsia="Arial" w:hAnsi="Arial"/>
          <w:sz w:val="18"/>
          <w:szCs w:val="18"/>
          <w:color w:val="auto"/>
        </w:rPr>
        <w:t>account to be paid to stockholders is reduced by (i) any taxes paid or payable and (ii) in the event of our liquidation for failure to complete our initial business combination within the allotted time, up to $ 100,000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1414" w:lineRule="exact"/>
        <w:rPr>
          <w:sz w:val="20"/>
          <w:szCs w:val="20"/>
          <w:color w:val="auto"/>
        </w:rPr>
      </w:pPr>
    </w:p>
    <w:p>
      <w:pPr>
        <w:sectPr>
          <w:pgSz w:w="11900" w:h="16838" w:orient="portrait"/>
          <w:cols w:equalWidth="0" w:num="2">
            <w:col w:w="5340" w:space="140"/>
            <w:col w:w="3539"/>
          </w:cols>
          <w:pgMar w:left="1440" w:top="302" w:right="1440" w:bottom="144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3" w:name="page94"/>
    <w:bookmarkEnd w:id="93"/>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hanging="179"/>
        <w:spacing w:after="0" w:line="275" w:lineRule="auto"/>
        <w:rPr>
          <w:sz w:val="20"/>
          <w:szCs w:val="20"/>
          <w:color w:val="auto"/>
        </w:rPr>
      </w:pPr>
      <w:r>
        <w:rPr>
          <w:rFonts w:ascii="Arial" w:cs="Arial" w:eastAsia="Arial" w:hAnsi="Arial"/>
          <w:sz w:val="17"/>
          <w:szCs w:val="17"/>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40" w:hanging="179"/>
        <w:spacing w:after="0" w:line="271" w:lineRule="auto"/>
        <w:rPr>
          <w:sz w:val="20"/>
          <w:szCs w:val="20"/>
          <w:color w:val="auto"/>
        </w:rPr>
      </w:pPr>
      <w:r>
        <w:rPr>
          <w:rFonts w:ascii="Arial" w:cs="Arial" w:eastAsia="Arial" w:hAnsi="Arial"/>
          <w:sz w:val="18"/>
          <w:szCs w:val="18"/>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right="520" w:hanging="179"/>
        <w:spacing w:after="0" w:line="271" w:lineRule="auto"/>
        <w:rPr>
          <w:sz w:val="20"/>
          <w:szCs w:val="20"/>
          <w:color w:val="auto"/>
        </w:rPr>
      </w:pPr>
      <w:r>
        <w:rPr>
          <w:rFonts w:ascii="Arial" w:cs="Arial" w:eastAsia="Arial" w:hAnsi="Arial"/>
          <w:sz w:val="18"/>
          <w:szCs w:val="18"/>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must complete one or more business combinations having an aggregate fair market value of at least 80% of our assets held in the trust account (excluding the deferred underwriting commissions and taxes payable on the income earned on the trust account) at the time of the agreement to enter into the initial business combination.</w:t>
      </w:r>
    </w:p>
    <w:p>
      <w:pPr>
        <w:spacing w:after="0" w:line="192"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units are expected to begin trading on or promptly after the date of this prospectus. The Class A common stock and warrants comprising the units will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w:t>
      </w:r>
    </w:p>
    <w:p>
      <w:pPr>
        <w:spacing w:after="0" w:line="14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will file the Current Report on Form 8-K promptly after the closing of this offering, which closing is anticipated to take place three business days from the date of this prospectus.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18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warrants cannot be exercised until the later of 30 days after the completion of our initial business combination and 12 months from the closing of this offering.</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499"/>
        <w:spacing w:after="0"/>
        <w:rPr>
          <w:sz w:val="20"/>
          <w:szCs w:val="20"/>
          <w:color w:val="auto"/>
        </w:rPr>
      </w:pPr>
      <w:r>
        <w:rPr>
          <w:rFonts w:ascii="Arial" w:cs="Arial" w:eastAsia="Arial" w:hAnsi="Arial"/>
          <w:sz w:val="18"/>
          <w:szCs w:val="18"/>
          <w:color w:val="auto"/>
        </w:rPr>
        <w:t>The fair value or net assets of a target business must represent at least 80% of the maximum offering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479"/>
        <w:spacing w:after="0" w:line="237" w:lineRule="auto"/>
        <w:rPr>
          <w:sz w:val="20"/>
          <w:szCs w:val="20"/>
          <w:color w:val="auto"/>
        </w:rPr>
      </w:pPr>
      <w:r>
        <w:rPr>
          <w:rFonts w:ascii="Arial" w:cs="Arial" w:eastAsia="Arial" w:hAnsi="Arial"/>
          <w:sz w:val="18"/>
          <w:szCs w:val="18"/>
          <w:color w:val="auto"/>
        </w:rPr>
        <w:t>No trading of the units or the underlying Class A common stock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The warrants could be exercised prior to the completion of a business combination, but securities received and cash paid in connection with the exercise would be deposited in the escrow or trust account.</w:t>
      </w:r>
    </w:p>
    <w:p>
      <w:pPr>
        <w:spacing w:after="0" w:line="200" w:lineRule="exact"/>
        <w:rPr>
          <w:sz w:val="20"/>
          <w:szCs w:val="20"/>
          <w:color w:val="auto"/>
        </w:rPr>
      </w:pPr>
    </w:p>
    <w:p>
      <w:pPr>
        <w:sectPr>
          <w:pgSz w:w="11900" w:h="16838" w:orient="portrait"/>
          <w:cols w:equalWidth="0" w:num="3">
            <w:col w:w="2260" w:space="180"/>
            <w:col w:w="2940" w:space="100"/>
            <w:col w:w="3539"/>
          </w:cols>
          <w:pgMar w:left="1440" w:top="302" w:right="1440" w:bottom="1440" w:gutter="0" w:footer="0" w:header="0"/>
          <w:type w:val="continuous"/>
        </w:sectPr>
      </w:pP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4" w:name="page95"/>
    <w:bookmarkEnd w:id="94"/>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hanging="179"/>
        <w:spacing w:after="0" w:line="271" w:lineRule="auto"/>
        <w:rPr>
          <w:sz w:val="20"/>
          <w:szCs w:val="20"/>
          <w:color w:val="auto"/>
        </w:rPr>
      </w:pPr>
      <w:r>
        <w:rPr>
          <w:rFonts w:ascii="Arial" w:cs="Arial" w:eastAsia="Arial" w:hAnsi="Arial"/>
          <w:sz w:val="18"/>
          <w:szCs w:val="18"/>
          <w:b w:val="1"/>
          <w:bCs w:val="1"/>
          <w:color w:val="auto"/>
        </w:rPr>
        <w:t>Election to remain an investor</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We will provide our public stockholders with the opportunity to redeem their public shares for cash at a per share price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upon the completion of our initial business combination, subject to the limitations described herein. We may not be required by law to hold a stockholder vote. If we are not required by law and do not otherwise decide to hold a stockholder vote, we will, pursuant to our amended and restated certificate of incorporation, conduct the redemptions pursuant to the tender offer rules of the SEC and file tender offer documents with the SEC which will contain substantially the same financial and other information about the initial business combination and the redemption rights as is required under the SEC’s proxy rules. If, however, we hold a stockholder vote,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the business combination. Additionally, each public stockholder may elect to redeem their public shares irrespective of whether they vote for or against the proposed transaction.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79"/>
        <w:spacing w:after="0" w:line="234" w:lineRule="auto"/>
        <w:rPr>
          <w:sz w:val="20"/>
          <w:szCs w:val="20"/>
          <w:color w:val="auto"/>
        </w:rPr>
      </w:pPr>
      <w:r>
        <w:rPr>
          <w:rFonts w:ascii="Arial" w:cs="Arial" w:eastAsia="Arial" w:hAnsi="Arial"/>
          <w:sz w:val="18"/>
          <w:szCs w:val="18"/>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stockholder of the company or require the return of his, her or its investment. If the company has not received the notification by the end of the 45</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business day, funds and interest or dividends, if any, held in the trust or escrow account are automatically returned to the stockholder. Unless a sufficient number of investors elect to remain investors, all funds on deposit in the escrow account must be returned to all of the investors and none of the securities are issued.</w:t>
      </w:r>
    </w:p>
    <w:p>
      <w:pPr>
        <w:spacing w:after="0" w:line="4259" w:lineRule="exact"/>
        <w:rPr>
          <w:sz w:val="20"/>
          <w:szCs w:val="20"/>
          <w:color w:val="auto"/>
        </w:rPr>
      </w:pPr>
    </w:p>
    <w:p>
      <w:pPr>
        <w:sectPr>
          <w:pgSz w:w="11900" w:h="16838" w:orient="portrait"/>
          <w:cols w:equalWidth="0" w:num="3">
            <w:col w:w="2280" w:space="160"/>
            <w:col w:w="2940" w:space="100"/>
            <w:col w:w="3539"/>
          </w:cols>
          <w:pgMar w:left="1440" w:top="302" w:right="1440"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5" w:name="page96"/>
    <w:bookmarkEnd w:id="95"/>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right="200" w:hanging="179"/>
        <w:spacing w:after="0" w:line="275" w:lineRule="auto"/>
        <w:rPr>
          <w:sz w:val="20"/>
          <w:szCs w:val="20"/>
          <w:color w:val="auto"/>
        </w:rPr>
      </w:pPr>
      <w:r>
        <w:rPr>
          <w:rFonts w:ascii="Arial" w:cs="Arial" w:eastAsia="Arial" w:hAnsi="Arial"/>
          <w:sz w:val="17"/>
          <w:szCs w:val="17"/>
          <w:b w:val="1"/>
          <w:bCs w:val="1"/>
          <w:color w:val="auto"/>
        </w:rPr>
        <w:t>Business combination deadline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Release of funds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we are unable to complete an initial business combination within 24 months from the closing of this offering, we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Except for the withdrawal of interest to pay our taxes, none of the funds held in trust will be released from the trust account until the earliest of (i) the completion of our initial business combination, (ii) the redemption of our public shares if we are unable to complete our initial business combination within 24 months from the closing of this offering, subject to applicable law, and (iii) the redemption of our public shares properly submitted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99"/>
        <w:spacing w:after="0" w:line="237"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99"/>
        <w:spacing w:after="0" w:line="237" w:lineRule="auto"/>
        <w:rPr>
          <w:sz w:val="20"/>
          <w:szCs w:val="20"/>
          <w:color w:val="auto"/>
        </w:rPr>
      </w:pPr>
      <w:r>
        <w:rPr>
          <w:rFonts w:ascii="Arial" w:cs="Arial" w:eastAsia="Arial" w:hAnsi="Arial"/>
          <w:sz w:val="18"/>
          <w:szCs w:val="18"/>
          <w:color w:val="auto"/>
        </w:rPr>
        <w:t>The proceeds held in the escrow account are not released until the earlier of the completion of a business combination or the failure to effect a business combination within the allotted time.</w:t>
      </w:r>
    </w:p>
    <w:p>
      <w:pPr>
        <w:spacing w:after="0" w:line="4243" w:lineRule="exact"/>
        <w:rPr>
          <w:sz w:val="20"/>
          <w:szCs w:val="20"/>
          <w:color w:val="auto"/>
        </w:rPr>
      </w:pPr>
    </w:p>
    <w:p>
      <w:pPr>
        <w:sectPr>
          <w:pgSz w:w="11900" w:h="16838" w:orient="portrait"/>
          <w:cols w:equalWidth="0" w:num="3">
            <w:col w:w="1900" w:space="540"/>
            <w:col w:w="2940" w:space="100"/>
            <w:col w:w="3539"/>
          </w:cols>
          <w:pgMar w:left="1440" w:top="302" w:right="1440" w:bottom="1440" w:gutter="0" w:footer="0" w:header="0"/>
          <w:type w:val="continuous"/>
        </w:sectPr>
      </w:pP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6" w:name="page97"/>
    <w:bookmarkEnd w:id="96"/>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86360</wp:posOffset>
            </wp:positionV>
            <wp:extent cx="38830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sectPr>
      </w:pPr>
    </w:p>
    <w:p>
      <w:pPr>
        <w:spacing w:after="0" w:line="167" w:lineRule="exact"/>
        <w:rPr>
          <w:sz w:val="20"/>
          <w:szCs w:val="20"/>
          <w:color w:val="auto"/>
        </w:rPr>
      </w:pPr>
    </w:p>
    <w:p>
      <w:pPr>
        <w:ind w:left="640" w:hanging="179"/>
        <w:spacing w:after="0" w:line="244" w:lineRule="auto"/>
        <w:rPr>
          <w:sz w:val="20"/>
          <w:szCs w:val="20"/>
          <w:color w:val="auto"/>
        </w:rPr>
      </w:pPr>
      <w:r>
        <w:rPr>
          <w:rFonts w:ascii="Arial" w:cs="Arial" w:eastAsia="Arial" w:hAnsi="Arial"/>
          <w:sz w:val="18"/>
          <w:szCs w:val="18"/>
          <w:b w:val="1"/>
          <w:bCs w:val="1"/>
          <w:color w:val="auto"/>
        </w:rPr>
        <w:t>Delivering stock certificates in connection with the exercise of redemption rights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intend to require our public stockholders seeking to exercise their redemption rights, whether they are record holders or hold their shares in “street name,” to, at the holder’s option, either deliver their stock certificates to our transfer agent or deliver their shares to our transfer agent electronically using The Depository Trust Company’s DWAC (Deposit/Withdrawal At Custodian) system, prior to the date set forth in the proxy materials or tender offer documents, as applicable In the case of proxy materials, this date may be up to two business days prior to the date on which the vote on the proposal to approve the initial business combination is to be held. In addition, if we conduct redemptions in connection with a stockholder vote, we intend to require a public stockholder seeking redemption of its public shares to also submit a written request for redemption to our transfer agent two business days prior to the vote in which the name of the beneficial owner of such shares is included. The proxy materials or tender offer documents, as applicable, that we will furnish to holders of our public shares in connection with our initial business combination will indicate whether we are requiring public stockholders to satisfy such delivery requirements. Accordingly, a public stockholder would have up to two business days prior to the vote on the initial business combination if we distribute proxy materials, or from the time we send out our tender offer materials until the close of the tender offer period, as applicable, to submit or tender its shares if it wishes to seek to exercise its redemption rights.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39"/>
        <w:spacing w:after="0" w:line="251" w:lineRule="auto"/>
        <w:rPr>
          <w:sz w:val="20"/>
          <w:szCs w:val="20"/>
          <w:color w:val="auto"/>
        </w:rPr>
      </w:pPr>
      <w:r>
        <w:rPr>
          <w:rFonts w:ascii="Arial" w:cs="Arial" w:eastAsia="Arial" w:hAnsi="Arial"/>
          <w:sz w:val="17"/>
          <w:szCs w:val="17"/>
          <w:color w:val="auto"/>
        </w:rPr>
        <w:t>Many blank check companies provide that a stockholder can vote against a proposed business combination and check a box on the proxy card indicating that such stockholder is seeking to exercise its redemption rights. After the business combination is approved, the company would contact such stockholder to arrange for delivery of its share certificates to verify ownership.</w:t>
      </w:r>
    </w:p>
    <w:p>
      <w:pPr>
        <w:spacing w:after="0" w:line="7476" w:lineRule="exact"/>
        <w:rPr>
          <w:sz w:val="20"/>
          <w:szCs w:val="20"/>
          <w:color w:val="auto"/>
        </w:rPr>
      </w:pPr>
    </w:p>
    <w:p>
      <w:pPr>
        <w:sectPr>
          <w:pgSz w:w="11900" w:h="16838" w:orient="portrait"/>
          <w:cols w:equalWidth="0" w:num="3">
            <w:col w:w="2320" w:space="120"/>
            <w:col w:w="2940" w:space="100"/>
            <w:col w:w="3539"/>
          </w:cols>
          <w:pgMar w:left="1440" w:top="302" w:right="1440"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7" w:name="page98"/>
    <w:bookmarkEnd w:id="97"/>
    <w:p>
      <w:pPr>
        <w:ind w:left="3180"/>
        <w:spacing w:after="0"/>
        <w:tabs>
          <w:tab w:leader="none" w:pos="5880" w:val="left"/>
        </w:tabs>
        <w:rPr>
          <w:sz w:val="20"/>
          <w:szCs w:val="20"/>
          <w:color w:val="auto"/>
        </w:rPr>
      </w:pPr>
      <w:r>
        <w:rPr>
          <w:rFonts w:ascii="Arial" w:cs="Arial" w:eastAsia="Arial" w:hAnsi="Arial"/>
          <w:sz w:val="14"/>
          <w:szCs w:val="14"/>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2" w:right="1440" w:bottom="1440" w:gutter="0" w:footer="0" w:header="0"/>
        </w:sectPr>
      </w:pPr>
    </w:p>
    <w:p>
      <w:pPr>
        <w:spacing w:after="0" w:line="113" w:lineRule="exact"/>
        <w:rPr>
          <w:sz w:val="20"/>
          <w:szCs w:val="20"/>
          <w:color w:val="auto"/>
        </w:rPr>
      </w:pPr>
    </w:p>
    <w:p>
      <w:pPr>
        <w:ind w:left="640" w:hanging="179"/>
        <w:spacing w:after="0"/>
        <w:rPr>
          <w:sz w:val="20"/>
          <w:szCs w:val="20"/>
          <w:color w:val="auto"/>
        </w:rPr>
      </w:pPr>
      <w:r>
        <w:rPr>
          <w:rFonts w:ascii="Arial" w:cs="Arial" w:eastAsia="Arial" w:hAnsi="Arial"/>
          <w:sz w:val="18"/>
          <w:szCs w:val="18"/>
          <w:b w:val="1"/>
          <w:bCs w:val="1"/>
          <w:color w:val="auto"/>
        </w:rPr>
        <w:t>Limitation on redemption rights of stockholders holding more than 20% of the shares sold in this offering if we hold a stockholder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seeking redemption rights with respect to Excess Shares, without our prior consent. However, we would not restrict our stockholders’ ability to vote all of their shares (including Excess Shares)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-2617470</wp:posOffset>
            </wp:positionV>
            <wp:extent cx="18770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19"/>
        <w:spacing w:after="0" w:line="237" w:lineRule="auto"/>
        <w:rPr>
          <w:sz w:val="20"/>
          <w:szCs w:val="20"/>
          <w:color w:val="auto"/>
        </w:rPr>
      </w:pPr>
      <w:r>
        <w:rPr>
          <w:rFonts w:ascii="Arial" w:cs="Arial" w:eastAsia="Arial" w:hAnsi="Arial"/>
          <w:sz w:val="18"/>
          <w:szCs w:val="18"/>
          <w:color w:val="auto"/>
        </w:rPr>
        <w:t>Many blank check companies provide no restrictions on the ability of stockholders to redeem shares based on the number of shares held by such stockholders in connection with an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-820420</wp:posOffset>
            </wp:positionV>
            <wp:extent cx="194564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593" w:lineRule="exact"/>
        <w:rPr>
          <w:sz w:val="20"/>
          <w:szCs w:val="20"/>
          <w:color w:val="auto"/>
        </w:rPr>
      </w:pPr>
    </w:p>
    <w:p>
      <w:pPr>
        <w:sectPr>
          <w:pgSz w:w="11900" w:h="16838" w:orient="portrait"/>
          <w:cols w:equalWidth="0" w:num="3">
            <w:col w:w="2300" w:space="140"/>
            <w:col w:w="2900" w:space="140"/>
            <w:col w:w="3539"/>
          </w:cols>
          <w:pgMar w:left="1440" w:top="302" w:right="1440" w:bottom="1440" w:gutter="0" w:footer="0" w:header="0"/>
          <w:type w:val="continuous"/>
        </w:sectPr>
      </w:pPr>
    </w:p>
    <w:p>
      <w:pPr>
        <w:ind w:left="460" w:right="479"/>
        <w:spacing w:after="0" w:line="235" w:lineRule="auto"/>
        <w:rPr>
          <w:sz w:val="20"/>
          <w:szCs w:val="20"/>
          <w:color w:val="auto"/>
        </w:rPr>
      </w:pPr>
      <w:r>
        <w:rPr>
          <w:rFonts w:ascii="Arial" w:cs="Arial" w:eastAsia="Arial" w:hAnsi="Arial"/>
          <w:sz w:val="18"/>
          <w:szCs w:val="18"/>
          <w:color w:val="auto"/>
        </w:rPr>
        <w:t>In identifying, evaluating and selecting a target business for our initial business combination, we may encounter competition from other entities having a business objective similar to ours, including other special purpose acquisition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stockholders who properly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26"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We currently utilize office space at 600 Montgomery Street, Suite 4500, San Francisco, California 94111 from our sponsor and the members of our management team. We consider our current office space adequate for our current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Employees</w:t>
      </w:r>
    </w:p>
    <w:p>
      <w:pPr>
        <w:spacing w:after="0" w:line="12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currently have three executive officers: Jim Tananbaum, Dennis Ryan and Michael Rome.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26" w:lineRule="exact"/>
        <w:rPr>
          <w:sz w:val="20"/>
          <w:szCs w:val="20"/>
          <w:color w:val="auto"/>
        </w:rPr>
      </w:pPr>
    </w:p>
    <w:p>
      <w:pPr>
        <w:ind w:left="460" w:right="579"/>
        <w:spacing w:after="0" w:line="257" w:lineRule="auto"/>
        <w:rPr>
          <w:sz w:val="20"/>
          <w:szCs w:val="20"/>
          <w:color w:val="auto"/>
        </w:rPr>
      </w:pPr>
      <w:r>
        <w:rPr>
          <w:rFonts w:ascii="Arial" w:cs="Arial" w:eastAsia="Arial" w:hAnsi="Arial"/>
          <w:sz w:val="17"/>
          <w:szCs w:val="17"/>
          <w:color w:val="auto"/>
        </w:rPr>
        <w:t>We will register our units, Class A common stock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81"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We will provide stockholders with audited financial statements of the prospective target business as part of the proxy solicitation materials or tender offer documents sent to stockholders to assist them in assessing the target business. In all likelihood, these financial statements will need to be prepared in accordance with, or reconciled</w:t>
      </w:r>
    </w:p>
    <w:p>
      <w:pPr>
        <w:sectPr>
          <w:pgSz w:w="11900" w:h="16838" w:orient="portrait"/>
          <w:cols w:equalWidth="0" w:num="1">
            <w:col w:w="9019"/>
          </w:cols>
          <w:pgMar w:left="1440" w:top="302" w:right="1440"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02" w:right="1440" w:bottom="1440" w:gutter="0" w:footer="0" w:header="0"/>
          <w:type w:val="continuous"/>
        </w:sectPr>
      </w:pPr>
    </w:p>
    <w:bookmarkStart w:id="98" w:name="page99"/>
    <w:bookmarkEnd w:id="98"/>
    <w:p>
      <w:pPr>
        <w:ind w:left="460" w:right="479"/>
        <w:spacing w:after="0" w:line="236" w:lineRule="auto"/>
        <w:rPr>
          <w:sz w:val="20"/>
          <w:szCs w:val="20"/>
          <w:color w:val="auto"/>
        </w:rPr>
      </w:pPr>
      <w:r>
        <w:rPr>
          <w:rFonts w:ascii="Arial" w:cs="Arial" w:eastAsia="Arial" w:hAnsi="Arial"/>
          <w:sz w:val="18"/>
          <w:szCs w:val="18"/>
          <w:color w:val="auto"/>
        </w:rPr>
        <w:t>to, GAAP, or IFRS, depending on the circumstances, and the historical financial statements may be required to be audited in accordance with the standards of the PCAOB. These financial statement requirements may limit the pool of potential target businesses we may conduct an initial business combination with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business combination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business combination candidates, we do not believe that this limitation will be material.</w:t>
      </w:r>
    </w:p>
    <w:p>
      <w:pPr>
        <w:spacing w:after="0" w:line="13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will be required to evaluate our internal control procedures for the fiscal year ending December 31, 2021 as required by the Sarbanes-Oxley Act. Only in the event we are deemed to be a large accelerated filer or an accelerated filer, and no longer qualify as an emerging growth company, will we be required to have our internal control procedures audited.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business combination.</w:t>
      </w:r>
    </w:p>
    <w:p>
      <w:pPr>
        <w:spacing w:after="0" w:line="127"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35"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3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21" w:lineRule="exact"/>
        <w:rPr>
          <w:sz w:val="20"/>
          <w:szCs w:val="20"/>
          <w:color w:val="auto"/>
        </w:rPr>
      </w:pPr>
    </w:p>
    <w:p>
      <w:pPr>
        <w:ind w:left="460" w:right="599"/>
        <w:spacing w:after="0" w:line="233"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shares of Class A common stock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securities during the prior three-year period.</w:t>
      </w:r>
    </w:p>
    <w:p>
      <w:pPr>
        <w:spacing w:after="0" w:line="135" w:lineRule="exact"/>
        <w:rPr>
          <w:sz w:val="20"/>
          <w:szCs w:val="20"/>
          <w:color w:val="auto"/>
        </w:rPr>
      </w:pPr>
    </w:p>
    <w:p>
      <w:pPr>
        <w:ind w:left="460" w:right="459"/>
        <w:spacing w:after="0" w:line="233"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or (2) our annual revenues exceeded $100 million during such completed fiscal year and the market value of our common stock held by non-affiliates exceeds $700 million as of the prior June 30.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66" w:lineRule="exact"/>
        <w:rPr>
          <w:sz w:val="20"/>
          <w:szCs w:val="20"/>
          <w:color w:val="auto"/>
        </w:rPr>
      </w:pPr>
    </w:p>
    <w:p>
      <w:pPr>
        <w:ind w:left="460" w:right="559"/>
        <w:spacing w:after="0" w:line="246"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99" w:name="page100"/>
    <w:bookmarkEnd w:id="99"/>
    <w:p>
      <w:pPr>
        <w:ind w:left="3840"/>
        <w:spacing w:after="0"/>
        <w:rPr>
          <w:sz w:val="20"/>
          <w:szCs w:val="20"/>
          <w:color w:val="auto"/>
        </w:rPr>
      </w:pPr>
      <w:r>
        <w:rPr>
          <w:rFonts w:ascii="Arial" w:cs="Arial" w:eastAsia="Arial" w:hAnsi="Arial"/>
          <w:sz w:val="18"/>
          <w:szCs w:val="18"/>
          <w:b w:val="1"/>
          <w:bCs w:val="1"/>
          <w:color w:val="auto"/>
        </w:rPr>
        <w:t>MANAGEMENT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Pr>
          <w:p>
            <w:pPr>
              <w:spacing w:after="0"/>
              <w:rPr>
                <w:sz w:val="16"/>
                <w:szCs w:val="16"/>
                <w:color w:val="auto"/>
              </w:rPr>
            </w:pPr>
          </w:p>
        </w:tc>
        <w:tc>
          <w:tcPr>
            <w:tcW w:w="3900" w:type="dxa"/>
            <w:vAlign w:val="bottom"/>
          </w:tcPr>
          <w:p>
            <w:pPr>
              <w:ind w:left="1660"/>
              <w:spacing w:after="0"/>
              <w:rPr>
                <w:sz w:val="20"/>
                <w:szCs w:val="20"/>
                <w:color w:val="auto"/>
              </w:rPr>
            </w:pPr>
            <w:r>
              <w:rPr>
                <w:rFonts w:ascii="Arial" w:cs="Arial" w:eastAsia="Arial" w:hAnsi="Arial"/>
                <w:sz w:val="14"/>
                <w:szCs w:val="14"/>
                <w:b w:val="1"/>
                <w:bCs w:val="1"/>
                <w:color w:val="auto"/>
              </w:rPr>
              <w:t>Position</w:t>
            </w:r>
          </w:p>
        </w:tc>
      </w:tr>
      <w:tr>
        <w:trPr>
          <w:trHeight w:val="26"/>
        </w:trPr>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r>
      <w:tr>
        <w:trPr>
          <w:trHeight w:val="237"/>
        </w:trPr>
        <w:tc>
          <w:tcPr>
            <w:tcW w:w="3000" w:type="dxa"/>
            <w:vAlign w:val="bottom"/>
            <w:gridSpan w:val="2"/>
          </w:tcPr>
          <w:p>
            <w:pPr>
              <w:spacing w:after="0"/>
              <w:rPr>
                <w:sz w:val="20"/>
                <w:szCs w:val="20"/>
                <w:color w:val="auto"/>
              </w:rPr>
            </w:pPr>
            <w:r>
              <w:rPr>
                <w:rFonts w:ascii="Arial" w:cs="Arial" w:eastAsia="Arial" w:hAnsi="Arial"/>
                <w:sz w:val="18"/>
                <w:szCs w:val="18"/>
                <w:color w:val="auto"/>
              </w:rPr>
              <w:t>Jim Tananbaum</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57</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President, Chief Executive Officer and Director</w:t>
            </w:r>
          </w:p>
        </w:tc>
      </w:tr>
      <w:tr>
        <w:trPr>
          <w:trHeight w:val="284"/>
        </w:trPr>
        <w:tc>
          <w:tcPr>
            <w:tcW w:w="300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35</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Vice President and Director</w:t>
            </w:r>
          </w:p>
        </w:tc>
      </w:tr>
      <w:tr>
        <w:trPr>
          <w:trHeight w:val="283"/>
        </w:trPr>
        <w:tc>
          <w:tcPr>
            <w:tcW w:w="3000" w:type="dxa"/>
            <w:vAlign w:val="bottom"/>
            <w:gridSpan w:val="2"/>
          </w:tcPr>
          <w:p>
            <w:pPr>
              <w:spacing w:after="0"/>
              <w:rPr>
                <w:sz w:val="20"/>
                <w:szCs w:val="20"/>
                <w:color w:val="auto"/>
              </w:rPr>
            </w:pPr>
            <w:r>
              <w:rPr>
                <w:rFonts w:ascii="Arial" w:cs="Arial" w:eastAsia="Arial" w:hAnsi="Arial"/>
                <w:sz w:val="18"/>
                <w:szCs w:val="18"/>
                <w:color w:val="auto"/>
              </w:rPr>
              <w:t>Vikram Bajaj</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400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bl>
    <w:p>
      <w:pPr>
        <w:spacing w:after="0" w:line="180"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b w:val="1"/>
          <w:bCs w:val="1"/>
          <w:i w:val="1"/>
          <w:iCs w:val="1"/>
          <w:color w:val="auto"/>
        </w:rPr>
        <w:t xml:space="preserve">Jim Tananbaum </w:t>
      </w:r>
      <w:r>
        <w:rPr>
          <w:rFonts w:ascii="Arial" w:cs="Arial" w:eastAsia="Arial" w:hAnsi="Arial"/>
          <w:sz w:val="17"/>
          <w:szCs w:val="17"/>
          <w:color w:val="auto"/>
        </w:rPr>
        <w:t>has been our President, Chief Executive Officer and a director since June 2020. Dr.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Tananbaum is also the chief executive officer of Foresite Capital, a U.S.-focused healthcare investment firm, which he founded in 2011. Prior to founding Foresite Capital, Dr. Tananbaum served as Co-Founder and Managing Director of Prospect Venture Partners L.P. II and III, healthcare venture partnerships, from 2000 to 2010. Dr. Tananbaum was also the Founder of GelTex, Inc. in 1991, an intestinal medicine pharmaceutical company acquired by Sanofi-Genzyme, and Theravance, Inc. in 1997 (now Theravance Biopharma, Inc., a diversified biopharmaceutical company focused on organ-selective medicines, and Innoviva, Inc., a respiratory-focused healthcare asset management company partnered with Glaxo Group Limited). Dr. Tananbaum received a B.S. and a B.S.E.E. from Yale University in Applied Math and Computer Science, and an M.D. and an M.B.A. from Harvard University. Dr. Tananbaum’s qualifications to serve on our board of directors include his scientific, financial and strategic business development expertise gained as a physician, founder of two life science companies and venture capital investor focused on life science companies.</w:t>
      </w:r>
    </w:p>
    <w:p>
      <w:pPr>
        <w:spacing w:after="0" w:line="102" w:lineRule="exact"/>
        <w:rPr>
          <w:sz w:val="20"/>
          <w:szCs w:val="20"/>
          <w:color w:val="auto"/>
        </w:rPr>
      </w:pPr>
    </w:p>
    <w:p>
      <w:pPr>
        <w:ind w:left="460" w:right="539"/>
        <w:spacing w:after="0" w:line="242" w:lineRule="auto"/>
        <w:rPr>
          <w:sz w:val="20"/>
          <w:szCs w:val="20"/>
          <w:color w:val="auto"/>
        </w:rPr>
      </w:pPr>
      <w:r>
        <w:rPr>
          <w:rFonts w:ascii="Arial" w:cs="Arial" w:eastAsia="Arial" w:hAnsi="Arial"/>
          <w:sz w:val="18"/>
          <w:szCs w:val="18"/>
          <w:b w:val="1"/>
          <w:bCs w:val="1"/>
          <w:i w:val="1"/>
          <w:iCs w:val="1"/>
          <w:color w:val="auto"/>
        </w:rPr>
        <w:t xml:space="preserve">Dennis Ryan </w:t>
      </w:r>
      <w:r>
        <w:rPr>
          <w:rFonts w:ascii="Arial" w:cs="Arial" w:eastAsia="Arial" w:hAnsi="Arial"/>
          <w:sz w:val="18"/>
          <w:szCs w:val="18"/>
          <w:color w:val="auto"/>
        </w:rPr>
        <w:t>has been our Chief Financial Officer since June 2020. Since 2011, Mr. Ryan has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led the Operations Group at Foresite Capital as Chief Financial Officer and Managing Director. Mr. Ryan currently serves as Board President of Whistlestop, a non-profit providing transportation and nutrition services to seniors. He received a B.A. from University of California, Berkeley in Economics, and an M.B.A from the University of Santa Clara. Mr. Ryan is a licensed certified public accountant in California.</w:t>
      </w:r>
    </w:p>
    <w:p>
      <w:pPr>
        <w:spacing w:after="0" w:line="111"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b w:val="1"/>
          <w:bCs w:val="1"/>
          <w:i w:val="1"/>
          <w:iCs w:val="1"/>
          <w:color w:val="auto"/>
        </w:rPr>
        <w:t xml:space="preserve">Michael Rome </w:t>
      </w:r>
      <w:r>
        <w:rPr>
          <w:rFonts w:ascii="Arial" w:cs="Arial" w:eastAsia="Arial" w:hAnsi="Arial"/>
          <w:sz w:val="18"/>
          <w:szCs w:val="18"/>
          <w:color w:val="auto"/>
        </w:rPr>
        <w:t>has been our Vice President and Director since June 2020. Dr. Rome also serves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at Foresite Capital, where he has held various roles since 2016. From September 2015 to July 2016, he was an Analyst at DAFNA Capital Management, a healthcare hedge fund, where he covered and formulated investment ideas for small/mid-cap biotech companies. Prior to joining DAFNA Capital Management, Dr. Rome worked in early-stage drug development as a Senior Scientist for Vault Pharma, an academic start-up out of the California NanoSystems Institute at UCLA from April 2014 to September 2015. In the past five years, Dr. Rome held a board observer role at Turning Point Therapeutics, Inc., a clinical-stage precision oncology company. Dr. Rome received a B.S. from UCLA in Molecular, Cell and Developmental Biology and a Ph.D. in Biochemistry from Caltech. Dr. Rome’s qualifications to serve on our board of directors include his substantial experience as a research scientist and depth of knowledge of the biotechnology and pharmaceuticals research and development process, as well as his experience investing across diverse therapeutic areas.</w:t>
      </w:r>
    </w:p>
    <w:p>
      <w:pPr>
        <w:spacing w:after="0" w:line="99"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b w:val="1"/>
          <w:bCs w:val="1"/>
          <w:i w:val="1"/>
          <w:iCs w:val="1"/>
          <w:color w:val="auto"/>
        </w:rPr>
        <w:t xml:space="preserve">Vikram Bajaj </w:t>
      </w:r>
      <w:r>
        <w:rPr>
          <w:rFonts w:ascii="Arial" w:cs="Arial" w:eastAsia="Arial" w:hAnsi="Arial"/>
          <w:sz w:val="18"/>
          <w:szCs w:val="18"/>
          <w:color w:val="auto"/>
        </w:rPr>
        <w:t>has been a director on our board of directors since June 2020. Dr. Bajaj currently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serves as a Managing Director at Foresite Capital, since September 2017 and Chief Executive Officer of Foresite Labs, a healthcare and data science incubator, since October 2019. He is also an Associate Professor of Radiology (Consulting) at the Stanford University School of Medicine, since 2014, and an Affiliate Scientist of the Lawrence Berkeley National Laboratory, since 2011. Prior to joining Foresite Capital, Dr. Bajaj was the Chief Scientific Officer of GRAIL, Inc., a life sciences company developing a multi-cancer early detection test, from September 2016 to September 2017. From April 2013 to September 2016, Dr. Bajaj was the Co-Founder and Chief Scientific Officer of Verily (formerly Google Life Sciences), a research organization devoted to the study of life sciences, and served as Chair of its Scientific Advisory Board from September 2016 to September 2017. He is currently on the advisory board of UC Berkeley, College of Chemistry. Dr. Bajaj holds a B.A./M.S. from University of Pennsylvania in Biochemistry and a Ph.D. from the Massachusetts Institute of Technology in Physical Chemistry. Dr. Bajaj’s qualifications to serve on our board of directors include his breadth of scientific and engineering expertise and his network of contacts in the life sciences sector.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0" w:name="page101"/>
    <w:bookmarkEnd w:id="100"/>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53"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Our board of directors consists of [ ] members is divided into three classes with only one class of directors being elected in each year, and with each class (except for those directors appointed prior to our first annual meeting of stockholders) serving a three-year term. In accordance with Nasdaq corporate governance requirements, we are not required to hold an annual meeting until one year after our first fiscal year end following our listing on Nasdaq. The term of office of the first class of</w:t>
      </w:r>
    </w:p>
    <w:p>
      <w:pPr>
        <w:spacing w:after="0" w:line="3" w:lineRule="exact"/>
        <w:rPr>
          <w:sz w:val="20"/>
          <w:szCs w:val="20"/>
          <w:color w:val="auto"/>
        </w:rPr>
      </w:pPr>
    </w:p>
    <w:p>
      <w:pPr>
        <w:ind w:left="460" w:right="639"/>
        <w:spacing w:after="0" w:line="234" w:lineRule="auto"/>
        <w:rPr>
          <w:sz w:val="20"/>
          <w:szCs w:val="20"/>
          <w:color w:val="auto"/>
        </w:rPr>
      </w:pPr>
      <w:r>
        <w:rPr>
          <w:rFonts w:ascii="Arial" w:cs="Arial" w:eastAsia="Arial" w:hAnsi="Arial"/>
          <w:sz w:val="18"/>
          <w:szCs w:val="18"/>
          <w:color w:val="auto"/>
        </w:rPr>
        <w:t>directors, consisting of [ ] and [ ], will expire at our first annual meeting of stockholders. The term of office of the second class of directors, consisting of [ ] and [ ], will expire at the</w:t>
      </w:r>
    </w:p>
    <w:p>
      <w:pPr>
        <w:ind w:left="460"/>
        <w:spacing w:after="0" w:line="236" w:lineRule="auto"/>
        <w:rPr>
          <w:sz w:val="20"/>
          <w:szCs w:val="20"/>
          <w:color w:val="auto"/>
        </w:rPr>
      </w:pPr>
      <w:r>
        <w:rPr>
          <w:rFonts w:ascii="Arial" w:cs="Arial" w:eastAsia="Arial" w:hAnsi="Arial"/>
          <w:sz w:val="18"/>
          <w:szCs w:val="18"/>
          <w:color w:val="auto"/>
        </w:rPr>
        <w:t>second annual meeting of stockholders. The term of office of the third class of directors, consisting of</w:t>
      </w: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and [], will expire at the third annual meeting of stockholders.</w:t>
      </w:r>
    </w:p>
    <w:p>
      <w:pPr>
        <w:spacing w:after="0" w:line="117" w:lineRule="exact"/>
        <w:rPr>
          <w:sz w:val="20"/>
          <w:szCs w:val="20"/>
          <w:color w:val="auto"/>
        </w:rPr>
      </w:pPr>
    </w:p>
    <w:p>
      <w:pPr>
        <w:ind w:left="460" w:right="779"/>
        <w:spacing w:after="0" w:line="261" w:lineRule="auto"/>
        <w:rPr>
          <w:sz w:val="20"/>
          <w:szCs w:val="20"/>
          <w:color w:val="auto"/>
        </w:rPr>
      </w:pPr>
      <w:r>
        <w:rPr>
          <w:rFonts w:ascii="Arial" w:cs="Arial" w:eastAsia="Arial" w:hAnsi="Arial"/>
          <w:sz w:val="17"/>
          <w:szCs w:val="17"/>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certificate of incorporation.</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Nasdaq listing standards require that a majority of our board of directors be independent within one</w:t>
      </w:r>
    </w:p>
    <w:p>
      <w:pPr>
        <w:ind w:left="460" w:right="519"/>
        <w:spacing w:after="0" w:line="238" w:lineRule="auto"/>
        <w:rPr>
          <w:sz w:val="20"/>
          <w:szCs w:val="20"/>
          <w:color w:val="auto"/>
        </w:rPr>
      </w:pPr>
      <w:r>
        <w:rPr>
          <w:rFonts w:ascii="Arial" w:cs="Arial" w:eastAsia="Arial" w:hAnsi="Arial"/>
          <w:sz w:val="18"/>
          <w:szCs w:val="18"/>
          <w:color w:val="auto"/>
        </w:rPr>
        <w:t>year of our initial public offering. Our board of directors has determined that [ ], [ ] and [ ] are “independent directors” as defined in Nasdaq listing standards and applicable SEC rules. Our independent directors will have regularly scheduled meetings at which only independent directors are present.</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3" w:lineRule="exact"/>
        <w:rPr>
          <w:sz w:val="20"/>
          <w:szCs w:val="20"/>
          <w:color w:val="auto"/>
        </w:rPr>
      </w:pPr>
    </w:p>
    <w:p>
      <w:pPr>
        <w:ind w:left="460" w:right="559"/>
        <w:spacing w:after="0" w:line="250"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Commencing on the date that our securities are first listed on Nasdaq through the earlier of consummation of our initial business combination and our liquidation, we will pay our sponsor $ 10,000 per month for office space, secretarial and administrative services provided to members of our management team.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1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proxy solicitation materials or tender offer materials furnished to our stockholders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36"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101" w:name="page102"/>
    <w:bookmarkEnd w:id="101"/>
    <w:p>
      <w:pPr>
        <w:ind w:left="460" w:right="679"/>
        <w:spacing w:after="0"/>
        <w:rPr>
          <w:sz w:val="20"/>
          <w:szCs w:val="20"/>
          <w:color w:val="auto"/>
        </w:rPr>
      </w:pPr>
      <w:r>
        <w:rPr>
          <w:rFonts w:ascii="Arial" w:cs="Arial" w:eastAsia="Arial" w:hAnsi="Arial"/>
          <w:sz w:val="18"/>
          <w:szCs w:val="18"/>
          <w:color w:val="auto"/>
        </w:rPr>
        <w:t>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39" w:lineRule="exact"/>
        <w:rPr>
          <w:sz w:val="20"/>
          <w:szCs w:val="20"/>
          <w:color w:val="auto"/>
        </w:rPr>
      </w:pPr>
    </w:p>
    <w:p>
      <w:pPr>
        <w:ind w:left="460" w:right="599"/>
        <w:spacing w:after="0" w:line="253" w:lineRule="auto"/>
        <w:rPr>
          <w:sz w:val="20"/>
          <w:szCs w:val="20"/>
          <w:color w:val="auto"/>
        </w:rPr>
      </w:pPr>
      <w:r>
        <w:rPr>
          <w:rFonts w:ascii="Arial" w:cs="Arial" w:eastAsia="Arial" w:hAnsi="Arial"/>
          <w:sz w:val="17"/>
          <w:szCs w:val="17"/>
          <w:color w:val="auto"/>
        </w:rPr>
        <w:t>Upon the effectiveness of the registration statement of which this prospectus forms a part, our board of directors will have two standing committees: an audit committee and a compensation committee. Subject to phase-in rules and a limited exception, the rules of Nasdaq and Rule 10A-3 of the Exchange Act require that the audit committee of a listed company be comprised solely of independent directors. Subject to phase-in rules and a limited exception, the rules of Nasdaq require that the compensation committee of a listed company be comprised solely of independent directors.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effectiveness of the registration statement of which this prospectus forms a part, we will</w:t>
      </w:r>
    </w:p>
    <w:p>
      <w:pPr>
        <w:ind w:left="460"/>
        <w:spacing w:after="0"/>
        <w:tabs>
          <w:tab w:leader="none" w:pos="5220" w:val="left"/>
          <w:tab w:leader="none" w:pos="5820" w:val="left"/>
          <w:tab w:leader="none" w:pos="6720" w:val="left"/>
        </w:tabs>
        <w:rPr>
          <w:sz w:val="20"/>
          <w:szCs w:val="20"/>
          <w:color w:val="auto"/>
        </w:rPr>
      </w:pPr>
      <w:r>
        <w:rPr>
          <w:rFonts w:ascii="Arial" w:cs="Arial" w:eastAsia="Arial" w:hAnsi="Arial"/>
          <w:sz w:val="18"/>
          <w:szCs w:val="18"/>
          <w:color w:val="auto"/>
        </w:rPr>
        <w:t>establish an audit committee of the board of directors.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and [</w:t>
      </w:r>
      <w:r>
        <w:rPr>
          <w:sz w:val="20"/>
          <w:szCs w:val="20"/>
          <w:color w:val="auto"/>
        </w:rPr>
        <w:tab/>
      </w:r>
      <w:r>
        <w:rPr>
          <w:rFonts w:ascii="Arial" w:cs="Arial" w:eastAsia="Arial" w:hAnsi="Arial"/>
          <w:sz w:val="17"/>
          <w:szCs w:val="17"/>
          <w:color w:val="auto"/>
        </w:rPr>
        <w:t>] will serve as</w:t>
      </w:r>
    </w:p>
    <w:p>
      <w:pPr>
        <w:spacing w:after="0" w:line="1" w:lineRule="exact"/>
        <w:rPr>
          <w:sz w:val="20"/>
          <w:szCs w:val="20"/>
          <w:color w:val="auto"/>
        </w:rPr>
      </w:pPr>
    </w:p>
    <w:p>
      <w:pPr>
        <w:ind w:left="460" w:right="619"/>
        <w:spacing w:after="0" w:line="246" w:lineRule="auto"/>
        <w:rPr>
          <w:sz w:val="20"/>
          <w:szCs w:val="20"/>
          <w:color w:val="auto"/>
        </w:rPr>
      </w:pPr>
      <w:r>
        <w:rPr>
          <w:rFonts w:ascii="Arial" w:cs="Arial" w:eastAsia="Arial" w:hAnsi="Arial"/>
          <w:sz w:val="18"/>
          <w:szCs w:val="18"/>
          <w:color w:val="auto"/>
        </w:rPr>
        <w:t>members of our audit committee, and [ ] will chair the audit committee. All members of our audit committee are independent of and unaffiliated with our sponsor and our underwriters.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member of the audit committee is financially literate and our board of directors has determined</w:t>
      </w:r>
    </w:p>
    <w:p>
      <w:pPr>
        <w:ind w:left="460" w:right="679"/>
        <w:spacing w:after="0" w:line="246" w:lineRule="auto"/>
        <w:rPr>
          <w:sz w:val="20"/>
          <w:szCs w:val="20"/>
          <w:color w:val="auto"/>
        </w:rPr>
      </w:pPr>
      <w:r>
        <w:rPr>
          <w:rFonts w:ascii="Arial" w:cs="Arial" w:eastAsia="Arial" w:hAnsi="Arial"/>
          <w:sz w:val="18"/>
          <w:szCs w:val="18"/>
          <w:color w:val="auto"/>
        </w:rPr>
        <w:t>that [ ] qualifies as an “audit committee financial expert” as defined in applicable SEC rules and has accounting or related financial management expertise.</w:t>
      </w:r>
    </w:p>
    <w:p>
      <w:pPr>
        <w:spacing w:after="0" w:line="116" w:lineRule="exact"/>
        <w:rPr>
          <w:sz w:val="20"/>
          <w:szCs w:val="20"/>
          <w:color w:val="auto"/>
        </w:rPr>
      </w:pPr>
    </w:p>
    <w:p>
      <w:pPr>
        <w:ind w:left="460" w:right="1259"/>
        <w:spacing w:after="0" w:line="246" w:lineRule="auto"/>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8" w:lineRule="exact"/>
        <w:rPr>
          <w:sz w:val="20"/>
          <w:szCs w:val="20"/>
          <w:color w:val="auto"/>
        </w:rPr>
      </w:pPr>
    </w:p>
    <w:p>
      <w:pPr>
        <w:ind w:left="1100" w:right="479" w:hanging="322"/>
        <w:spacing w:after="0" w:line="237"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auditors and any other independent registered public accounting firm engaged by us;</w:t>
      </w:r>
    </w:p>
    <w:p>
      <w:pPr>
        <w:spacing w:after="0" w:line="29" w:lineRule="exact"/>
        <w:rPr>
          <w:rFonts w:ascii="Arial" w:cs="Arial" w:eastAsia="Arial" w:hAnsi="Arial"/>
          <w:sz w:val="18"/>
          <w:szCs w:val="18"/>
          <w:color w:val="auto"/>
        </w:rPr>
      </w:pPr>
    </w:p>
    <w:p>
      <w:pPr>
        <w:ind w:left="1100" w:right="539" w:hanging="322"/>
        <w:spacing w:after="0" w:line="238"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pre-approving all audit and non-audit services to be provided by the independent auditors or any other registered public accounting firm engaged by us, and establishing pre-approval policies and procedures; reviewing and discussing with the independent registered public accounting firm all relationships the auditors have with us in order to evaluate their continued independence;</w:t>
      </w:r>
    </w:p>
    <w:p>
      <w:pPr>
        <w:spacing w:after="0" w:line="26" w:lineRule="exact"/>
        <w:rPr>
          <w:rFonts w:ascii="Arial" w:cs="Arial" w:eastAsia="Arial" w:hAnsi="Arial"/>
          <w:sz w:val="18"/>
          <w:szCs w:val="18"/>
          <w:color w:val="auto"/>
        </w:rPr>
      </w:pPr>
    </w:p>
    <w:p>
      <w:pPr>
        <w:ind w:left="1100" w:right="559" w:hanging="322"/>
        <w:spacing w:after="0" w:line="236"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 obtaining and reviewing a report, at least annually, from the independent registered public accounting firm describing (1) the independent registered public accounting firm’s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8" w:lineRule="exact"/>
        <w:rPr>
          <w:rFonts w:ascii="Arial" w:cs="Arial" w:eastAsia="Arial" w:hAnsi="Arial"/>
          <w:sz w:val="18"/>
          <w:szCs w:val="18"/>
          <w:color w:val="auto"/>
        </w:rPr>
      </w:pPr>
    </w:p>
    <w:p>
      <w:pPr>
        <w:ind w:left="1100" w:right="579" w:hanging="322"/>
        <w:spacing w:after="0" w:line="237"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29" w:lineRule="exact"/>
        <w:rPr>
          <w:rFonts w:ascii="Arial" w:cs="Arial" w:eastAsia="Arial" w:hAnsi="Arial"/>
          <w:sz w:val="18"/>
          <w:szCs w:val="18"/>
          <w:color w:val="auto"/>
        </w:rPr>
      </w:pPr>
    </w:p>
    <w:p>
      <w:pPr>
        <w:ind w:left="1100" w:right="599" w:hanging="322"/>
        <w:spacing w:after="0" w:line="237" w:lineRule="auto"/>
        <w:tabs>
          <w:tab w:leader="none" w:pos="10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reviewing with management, the independent,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Upon the effectiveness of the registration statement of which this prospectus forms a part, we will</w:t>
      </w:r>
    </w:p>
    <w:tbl>
      <w:tblPr>
        <w:tblLayout w:type="fixed"/>
        <w:tblInd w:w="460" w:type="dxa"/>
        <w:tblCellMar>
          <w:top w:w="0" w:type="dxa"/>
          <w:left w:w="0" w:type="dxa"/>
          <w:bottom w:w="0" w:type="dxa"/>
          <w:right w:w="0" w:type="dxa"/>
        </w:tblCellMar>
      </w:tblP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establish a compensation committee of the board of directors. [</w:t>
            </w:r>
          </w:p>
        </w:tc>
        <w:tc>
          <w:tcPr>
            <w:tcW w:w="6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 [</w:t>
            </w:r>
          </w:p>
        </w:tc>
        <w:tc>
          <w:tcPr>
            <w:tcW w:w="900" w:type="dxa"/>
            <w:vAlign w:val="bottom"/>
          </w:tcPr>
          <w:p>
            <w:pPr>
              <w:ind w:left="200"/>
              <w:spacing w:after="0" w:line="202" w:lineRule="exact"/>
              <w:rPr>
                <w:sz w:val="20"/>
                <w:szCs w:val="20"/>
                <w:color w:val="auto"/>
              </w:rPr>
            </w:pPr>
            <w:r>
              <w:rPr>
                <w:rFonts w:ascii="Arial" w:cs="Arial" w:eastAsia="Arial" w:hAnsi="Arial"/>
                <w:sz w:val="18"/>
                <w:szCs w:val="18"/>
                <w:color w:val="auto"/>
              </w:rPr>
              <w:t>] and [</w:t>
            </w:r>
          </w:p>
        </w:tc>
        <w:tc>
          <w:tcPr>
            <w:tcW w:w="1400" w:type="dxa"/>
            <w:vAlign w:val="bottom"/>
          </w:tcPr>
          <w:p>
            <w:pPr>
              <w:ind w:left="200"/>
              <w:spacing w:after="0" w:line="202" w:lineRule="exact"/>
              <w:rPr>
                <w:sz w:val="20"/>
                <w:szCs w:val="20"/>
                <w:color w:val="auto"/>
              </w:rPr>
            </w:pPr>
            <w:r>
              <w:rPr>
                <w:rFonts w:ascii="Arial" w:cs="Arial" w:eastAsia="Arial" w:hAnsi="Arial"/>
                <w:sz w:val="18"/>
                <w:szCs w:val="18"/>
                <w:color w:val="auto"/>
              </w:rPr>
              <w:t>] will serve as</w:t>
            </w:r>
          </w:p>
        </w:tc>
      </w:tr>
      <w:tr>
        <w:trPr>
          <w:trHeight w:val="217"/>
        </w:trPr>
        <w:tc>
          <w:tcPr>
            <w:tcW w:w="3660" w:type="dxa"/>
            <w:vAlign w:val="bottom"/>
          </w:tcPr>
          <w:p>
            <w:pPr>
              <w:spacing w:after="0"/>
              <w:rPr>
                <w:sz w:val="20"/>
                <w:szCs w:val="20"/>
                <w:color w:val="auto"/>
              </w:rPr>
            </w:pPr>
            <w:r>
              <w:rPr>
                <w:rFonts w:ascii="Arial" w:cs="Arial" w:eastAsia="Arial" w:hAnsi="Arial"/>
                <w:sz w:val="18"/>
                <w:szCs w:val="18"/>
                <w:color w:val="auto"/>
              </w:rPr>
              <w:t>members of our compensation committee. [</w:t>
            </w:r>
          </w:p>
        </w:tc>
        <w:tc>
          <w:tcPr>
            <w:tcW w:w="4440" w:type="dxa"/>
            <w:vAlign w:val="bottom"/>
            <w:gridSpan w:val="4"/>
          </w:tcPr>
          <w:p>
            <w:pPr>
              <w:ind w:left="200"/>
              <w:spacing w:after="0"/>
              <w:rPr>
                <w:sz w:val="20"/>
                <w:szCs w:val="20"/>
                <w:color w:val="auto"/>
              </w:rPr>
            </w:pPr>
            <w:r>
              <w:rPr>
                <w:rFonts w:ascii="Arial" w:cs="Arial" w:eastAsia="Arial" w:hAnsi="Arial"/>
                <w:sz w:val="18"/>
                <w:szCs w:val="18"/>
                <w:color w:val="auto"/>
              </w:rPr>
              <w:t>] will chair the compensation committee.</w:t>
            </w:r>
          </w:p>
        </w:tc>
      </w:tr>
      <w:tr>
        <w:trPr>
          <w:trHeight w:val="365"/>
        </w:trPr>
        <w:tc>
          <w:tcPr>
            <w:tcW w:w="36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rPr>
              <w:t>98</w:t>
            </w: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87" w:right="1440" w:bottom="1440" w:gutter="0" w:footer="0" w:header="0"/>
        </w:sectPr>
      </w:pPr>
    </w:p>
    <w:bookmarkStart w:id="102" w:name="page103"/>
    <w:bookmarkEnd w:id="102"/>
    <w:p>
      <w:pPr>
        <w:ind w:left="460" w:right="1059"/>
        <w:spacing w:after="0" w:line="246" w:lineRule="auto"/>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1" w:lineRule="exact"/>
        <w:rPr>
          <w:sz w:val="20"/>
          <w:szCs w:val="20"/>
          <w:color w:val="auto"/>
        </w:rPr>
      </w:pPr>
    </w:p>
    <w:p>
      <w:pPr>
        <w:ind w:left="1100" w:right="479" w:hanging="322"/>
        <w:spacing w:after="0" w:line="238"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evaluating our Chief Executive Officer’s performance in light of such goals and objectives and determining and approving the remuneration (if any) of our Chief Executive Officer based on such evaluation;</w:t>
      </w:r>
    </w:p>
    <w:p>
      <w:pPr>
        <w:spacing w:after="0" w:line="29" w:lineRule="exact"/>
        <w:rPr>
          <w:rFonts w:ascii="Arial" w:cs="Arial" w:eastAsia="Arial" w:hAnsi="Arial"/>
          <w:sz w:val="18"/>
          <w:szCs w:val="18"/>
          <w:color w:val="auto"/>
        </w:rPr>
      </w:pPr>
    </w:p>
    <w:p>
      <w:pPr>
        <w:ind w:left="1100" w:right="739" w:hanging="322"/>
        <w:spacing w:after="0"/>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13" w:lineRule="exact"/>
        <w:rPr>
          <w:rFonts w:ascii="Arial" w:cs="Arial" w:eastAsia="Arial" w:hAnsi="Arial"/>
          <w:sz w:val="18"/>
          <w:szCs w:val="18"/>
          <w:color w:val="auto"/>
        </w:rPr>
      </w:pPr>
    </w:p>
    <w:p>
      <w:pPr>
        <w:ind w:left="1040" w:hanging="262"/>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47" w:lineRule="exact"/>
        <w:rPr>
          <w:rFonts w:ascii="Arial" w:cs="Arial" w:eastAsia="Arial" w:hAnsi="Arial"/>
          <w:sz w:val="17"/>
          <w:szCs w:val="17"/>
          <w:color w:val="auto"/>
        </w:rPr>
      </w:pPr>
    </w:p>
    <w:p>
      <w:pPr>
        <w:ind w:left="1100" w:right="79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7" w:lineRule="exact"/>
        <w:rPr>
          <w:rFonts w:ascii="Arial" w:cs="Arial" w:eastAsia="Arial" w:hAnsi="Arial"/>
          <w:sz w:val="18"/>
          <w:szCs w:val="18"/>
          <w:color w:val="auto"/>
        </w:rPr>
      </w:pPr>
    </w:p>
    <w:p>
      <w:pPr>
        <w:ind w:left="1100" w:right="55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21" w:lineRule="exact"/>
        <w:rPr>
          <w:rFonts w:ascii="Arial" w:cs="Arial" w:eastAsia="Arial" w:hAnsi="Arial"/>
          <w:sz w:val="18"/>
          <w:szCs w:val="18"/>
          <w:color w:val="auto"/>
        </w:rPr>
      </w:pPr>
    </w:p>
    <w:p>
      <w:pPr>
        <w:ind w:left="1100" w:right="63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21" w:lineRule="exact"/>
        <w:rPr>
          <w:rFonts w:ascii="Arial" w:cs="Arial" w:eastAsia="Arial" w:hAnsi="Arial"/>
          <w:sz w:val="18"/>
          <w:szCs w:val="18"/>
          <w:color w:val="auto"/>
        </w:rPr>
      </w:pPr>
    </w:p>
    <w:p>
      <w:pPr>
        <w:ind w:left="1100" w:right="899" w:hanging="322"/>
        <w:spacing w:after="0" w:line="246" w:lineRule="auto"/>
        <w:tabs>
          <w:tab w:leader="none" w:pos="1039"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1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Notwithstanding the foregoing, as indicated above, other than the payment to our sponsor of $10,000 per month, for up to 24 months, for office space, utilities and secretarial and administrative support and reimbursement of expenses, no compensation of any kind, including finders, consulting or other similar fees, will be paid to any of our existing stockholders,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39"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66" w:lineRule="exact"/>
        <w:rPr>
          <w:sz w:val="20"/>
          <w:szCs w:val="20"/>
          <w:color w:val="auto"/>
        </w:rPr>
      </w:pPr>
    </w:p>
    <w:p>
      <w:pPr>
        <w:ind w:left="460" w:right="839"/>
        <w:spacing w:after="0" w:line="248"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establish a nominating and corporate governance committee of the board of directors. The initial</w:t>
      </w:r>
    </w:p>
    <w:p>
      <w:pPr>
        <w:spacing w:after="0" w:line="1" w:lineRule="exact"/>
        <w:rPr>
          <w:sz w:val="20"/>
          <w:szCs w:val="20"/>
          <w:color w:val="auto"/>
        </w:rPr>
      </w:pPr>
    </w:p>
    <w:p>
      <w:pPr>
        <w:ind w:left="460" w:right="719"/>
        <w:spacing w:after="0" w:line="246" w:lineRule="auto"/>
        <w:rPr>
          <w:sz w:val="20"/>
          <w:szCs w:val="20"/>
          <w:color w:val="auto"/>
        </w:rPr>
      </w:pPr>
      <w:r>
        <w:rPr>
          <w:rFonts w:ascii="Arial" w:cs="Arial" w:eastAsia="Arial" w:hAnsi="Arial"/>
          <w:sz w:val="18"/>
          <w:szCs w:val="18"/>
          <w:color w:val="auto"/>
        </w:rPr>
        <w:t>members of our nominating and corporate governance will be [ ], [ ] and [ ]. [ ] will serve as chair of the nominating and corporate governance committee.</w:t>
      </w:r>
    </w:p>
    <w:p>
      <w:pPr>
        <w:spacing w:after="0" w:line="116" w:lineRule="exact"/>
        <w:rPr>
          <w:sz w:val="20"/>
          <w:szCs w:val="20"/>
          <w:color w:val="auto"/>
        </w:rPr>
      </w:pPr>
    </w:p>
    <w:p>
      <w:pPr>
        <w:ind w:left="460" w:right="1019"/>
        <w:spacing w:after="0" w:line="273" w:lineRule="auto"/>
        <w:rPr>
          <w:sz w:val="20"/>
          <w:szCs w:val="20"/>
          <w:color w:val="auto"/>
        </w:rPr>
      </w:pPr>
      <w:r>
        <w:rPr>
          <w:rFonts w:ascii="Arial" w:cs="Arial" w:eastAsia="Arial" w:hAnsi="Arial"/>
          <w:sz w:val="17"/>
          <w:szCs w:val="17"/>
          <w:color w:val="auto"/>
        </w:rPr>
        <w:t>We will adopt a nominating and corporate governance committee charter, which will detail the purpose and responsibilities of the nominating and corporate governance committee, including:</w:t>
      </w:r>
    </w:p>
    <w:p>
      <w:pPr>
        <w:spacing w:after="0" w:line="1" w:lineRule="exact"/>
        <w:rPr>
          <w:sz w:val="20"/>
          <w:szCs w:val="20"/>
          <w:color w:val="auto"/>
        </w:rPr>
      </w:pPr>
    </w:p>
    <w:p>
      <w:pPr>
        <w:ind w:left="1100" w:right="519" w:hanging="322"/>
        <w:spacing w:after="0" w:line="238" w:lineRule="auto"/>
        <w:tabs>
          <w:tab w:leader="none" w:pos="10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screening and reviewing individuals qualified to serve as directors, consistent with criteria approved by the board, and recommending to the board of directors candidates for nomination for election at the annual meeting of stockholders or to fill vacancies on the board of directors;</w:t>
      </w:r>
    </w:p>
    <w:p>
      <w:pPr>
        <w:spacing w:after="0" w:line="29" w:lineRule="exact"/>
        <w:rPr>
          <w:rFonts w:ascii="Arial" w:cs="Arial" w:eastAsia="Arial" w:hAnsi="Arial"/>
          <w:sz w:val="18"/>
          <w:szCs w:val="18"/>
          <w:color w:val="auto"/>
        </w:rPr>
      </w:pPr>
    </w:p>
    <w:p>
      <w:pPr>
        <w:ind w:left="1100" w:right="499" w:hanging="322"/>
        <w:spacing w:after="0" w:line="246" w:lineRule="auto"/>
        <w:tabs>
          <w:tab w:leader="none" w:pos="10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and overseeing implementation of our corporate governance guidelines;</w:t>
      </w:r>
    </w:p>
    <w:p>
      <w:pPr>
        <w:spacing w:after="0" w:line="7" w:lineRule="exact"/>
        <w:rPr>
          <w:rFonts w:ascii="Arial" w:cs="Arial" w:eastAsia="Arial" w:hAnsi="Arial"/>
          <w:sz w:val="18"/>
          <w:szCs w:val="18"/>
          <w:color w:val="auto"/>
        </w:rPr>
      </w:pPr>
    </w:p>
    <w:p>
      <w:pPr>
        <w:ind w:left="1100" w:right="799" w:hanging="322"/>
        <w:spacing w:after="0" w:line="273" w:lineRule="auto"/>
        <w:tabs>
          <w:tab w:leader="none" w:pos="1039" w:val="left"/>
        </w:tabs>
        <w:numPr>
          <w:ilvl w:val="0"/>
          <w:numId w:val="50"/>
        </w:numPr>
        <w:rPr>
          <w:rFonts w:ascii="Arial" w:cs="Arial" w:eastAsia="Arial" w:hAnsi="Arial"/>
          <w:sz w:val="17"/>
          <w:szCs w:val="17"/>
          <w:color w:val="auto"/>
        </w:rPr>
      </w:pPr>
      <w:r>
        <w:rPr>
          <w:rFonts w:ascii="Arial" w:cs="Arial" w:eastAsia="Arial" w:hAnsi="Arial"/>
          <w:sz w:val="17"/>
          <w:szCs w:val="17"/>
          <w:color w:val="auto"/>
        </w:rPr>
        <w:t>coordinating and overseeing the annual self-evaluation of the board of directors, its committees, individual directors and management in the governance of the company; and</w:t>
      </w:r>
    </w:p>
    <w:p>
      <w:pPr>
        <w:ind w:left="1100" w:right="1459" w:hanging="322"/>
        <w:spacing w:after="0" w:line="246" w:lineRule="auto"/>
        <w:tabs>
          <w:tab w:leader="none" w:pos="10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11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charter will also provide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sectPr>
      </w:pPr>
    </w:p>
    <w:bookmarkStart w:id="103" w:name="page104"/>
    <w:bookmarkEnd w:id="103"/>
    <w:p>
      <w:pPr>
        <w:ind w:left="460" w:right="479"/>
        <w:spacing w:after="0" w:line="23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 Prior to our initial business combination, holders of our public shares will not have the right to recommend director candidates for nomination to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53"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6" w:lineRule="exact"/>
        <w:rPr>
          <w:sz w:val="20"/>
          <w:szCs w:val="20"/>
          <w:color w:val="auto"/>
        </w:rPr>
      </w:pPr>
    </w:p>
    <w:p>
      <w:pPr>
        <w:ind w:left="460" w:right="519"/>
        <w:spacing w:after="0" w:line="250" w:lineRule="auto"/>
        <w:rPr>
          <w:sz w:val="20"/>
          <w:szCs w:val="20"/>
          <w:color w:val="auto"/>
        </w:rPr>
      </w:pPr>
      <w:r>
        <w:rPr>
          <w:rFonts w:ascii="Arial" w:cs="Arial" w:eastAsia="Arial" w:hAnsi="Arial"/>
          <w:sz w:val="17"/>
          <w:szCs w:val="17"/>
          <w:color w:val="auto"/>
        </w:rPr>
        <w:t xml:space="preserve">Prior to the consummation of this offering, we will adopt a Code of Business Conduct and Ethics applicable to our directors, officers and employees. We have filed a copy of our form of the Code of Business Conduct and Ethics and our audit committee and compensation committee charters as exhibits to the registration statement of which this prospectus is a part. You will be able to review this document by accessing our public filings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In addition, a copy of the Code of Business Conduct and Ethics and the charters of the committees will be provided without charge upon request from us. See the section of this prospectus entitled “Where You Can Find Additional Information.” If we make any amendments to our Code of Business Conduct and Ethics other than technical, administrative or 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in a Current Report on Form 8-K.</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officers and directors of a corporation incorporated under the laws of the State of</w:t>
      </w:r>
    </w:p>
    <w:p>
      <w:pPr>
        <w:ind w:left="460"/>
        <w:spacing w:after="0"/>
        <w:rPr>
          <w:sz w:val="20"/>
          <w:szCs w:val="20"/>
          <w:color w:val="auto"/>
        </w:rPr>
      </w:pPr>
      <w:r>
        <w:rPr>
          <w:rFonts w:ascii="Arial" w:cs="Arial" w:eastAsia="Arial" w:hAnsi="Arial"/>
          <w:sz w:val="18"/>
          <w:szCs w:val="18"/>
          <w:color w:val="auto"/>
        </w:rPr>
        <w:t>Delaware are required to present business opportunities to a corporation if:</w:t>
      </w:r>
    </w:p>
    <w:p>
      <w:pPr>
        <w:spacing w:after="0" w:line="36" w:lineRule="exact"/>
        <w:rPr>
          <w:sz w:val="20"/>
          <w:szCs w:val="20"/>
          <w:color w:val="auto"/>
        </w:rPr>
      </w:pPr>
    </w:p>
    <w:p>
      <w:pPr>
        <w:ind w:left="1040" w:hanging="262"/>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36" w:lineRule="exact"/>
        <w:rPr>
          <w:rFonts w:ascii="Arial" w:cs="Arial" w:eastAsia="Arial" w:hAnsi="Arial"/>
          <w:sz w:val="18"/>
          <w:szCs w:val="18"/>
          <w:color w:val="auto"/>
        </w:rPr>
      </w:pPr>
    </w:p>
    <w:p>
      <w:pPr>
        <w:ind w:left="1100" w:right="479" w:hanging="322"/>
        <w:spacing w:after="0" w:line="246" w:lineRule="auto"/>
        <w:tabs>
          <w:tab w:leader="none" w:pos="1039"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would not be fair to our company and its stockholders for the opportunity not to be brought to the attention of the corporation.</w:t>
      </w:r>
    </w:p>
    <w:p>
      <w:pPr>
        <w:spacing w:after="0" w:line="129"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another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the company and such opportunity is one we are legally and contractually permitted to undertake and would otherwise be reasonable for us to pursue, and to the extent the director or officer is permitted to refer that opportunity to us without violating another legal obligation. We do not believe, however, that the fiduciary duties or contractual obligations of our officers or directors will materially affect our ability to complete our initial business combination.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4" w:name="page105"/>
    <w:bookmarkEnd w:id="104"/>
    <w:p>
      <w:pPr>
        <w:jc w:val="both"/>
        <w:ind w:left="460" w:right="579"/>
        <w:spacing w:after="0"/>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or contractual obligations (excluding non-profit and educational organizations with no connection to the biotechnology sector):</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1960" w:type="dxa"/>
            <w:vAlign w:val="bottom"/>
            <w:gridSpan w:val="2"/>
          </w:tcPr>
          <w:p>
            <w:pPr>
              <w:ind w:left="740"/>
              <w:spacing w:after="0"/>
              <w:rPr>
                <w:sz w:val="20"/>
                <w:szCs w:val="20"/>
                <w:color w:val="auto"/>
              </w:rPr>
            </w:pPr>
            <w:r>
              <w:rPr>
                <w:rFonts w:ascii="Arial" w:cs="Arial" w:eastAsia="Arial" w:hAnsi="Arial"/>
                <w:sz w:val="14"/>
                <w:szCs w:val="14"/>
                <w:b w:val="1"/>
                <w:bCs w:val="1"/>
                <w:color w:val="auto"/>
              </w:rPr>
              <w:t>Entity</w:t>
            </w:r>
          </w:p>
        </w:tc>
        <w:tc>
          <w:tcPr>
            <w:tcW w:w="1780" w:type="dxa"/>
            <w:vAlign w:val="bottom"/>
          </w:tcPr>
          <w:p>
            <w:pPr>
              <w:ind w:left="300"/>
              <w:spacing w:after="0"/>
              <w:rPr>
                <w:sz w:val="20"/>
                <w:szCs w:val="20"/>
                <w:color w:val="auto"/>
              </w:rPr>
            </w:pPr>
            <w:r>
              <w:rPr>
                <w:rFonts w:ascii="Arial" w:cs="Arial" w:eastAsia="Arial" w:hAnsi="Arial"/>
                <w:sz w:val="14"/>
                <w:szCs w:val="14"/>
                <w:b w:val="1"/>
                <w:bCs w:val="1"/>
                <w:color w:val="auto"/>
              </w:rPr>
              <w:t>Entity’s Business</w:t>
            </w:r>
          </w:p>
        </w:tc>
        <w:tc>
          <w:tcPr>
            <w:tcW w:w="100" w:type="dxa"/>
            <w:vAlign w:val="bottom"/>
          </w:tcPr>
          <w:p>
            <w:pPr>
              <w:spacing w:after="0"/>
              <w:rPr>
                <w:sz w:val="16"/>
                <w:szCs w:val="16"/>
                <w:color w:val="auto"/>
              </w:rPr>
            </w:pPr>
          </w:p>
        </w:tc>
        <w:tc>
          <w:tcPr>
            <w:tcW w:w="2560" w:type="dxa"/>
            <w:vAlign w:val="bottom"/>
          </w:tcPr>
          <w:p>
            <w:pPr>
              <w:ind w:left="940"/>
              <w:spacing w:after="0"/>
              <w:rPr>
                <w:sz w:val="20"/>
                <w:szCs w:val="20"/>
                <w:color w:val="auto"/>
              </w:rPr>
            </w:pPr>
            <w:r>
              <w:rPr>
                <w:rFonts w:ascii="Arial" w:cs="Arial" w:eastAsia="Arial" w:hAnsi="Arial"/>
                <w:sz w:val="14"/>
                <w:szCs w:val="14"/>
                <w:b w:val="1"/>
                <w:bCs w:val="1"/>
                <w:color w:val="auto"/>
              </w:rPr>
              <w:t>Affiliation</w:t>
            </w:r>
          </w:p>
        </w:tc>
      </w:tr>
      <w:tr>
        <w:trPr>
          <w:trHeight w:val="26"/>
        </w:trPr>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60" w:type="dxa"/>
            <w:vAlign w:val="bottom"/>
            <w:gridSpan w:val="2"/>
          </w:tcPr>
          <w:p>
            <w:pPr>
              <w:spacing w:after="0"/>
              <w:rPr>
                <w:sz w:val="2"/>
                <w:szCs w:val="2"/>
                <w:color w:val="auto"/>
              </w:rPr>
            </w:pPr>
          </w:p>
        </w:tc>
      </w:tr>
      <w:tr>
        <w:trPr>
          <w:trHeight w:val="195"/>
        </w:trPr>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Jim Tananbaum</w:t>
            </w:r>
          </w:p>
        </w:tc>
        <w:tc>
          <w:tcPr>
            <w:tcW w:w="100" w:type="dxa"/>
            <w:vAlign w:val="bottom"/>
          </w:tcPr>
          <w:p>
            <w:pPr>
              <w:spacing w:after="0"/>
              <w:rPr>
                <w:sz w:val="16"/>
                <w:szCs w:val="16"/>
                <w:color w:val="auto"/>
              </w:rPr>
            </w:pPr>
          </w:p>
        </w:tc>
        <w:tc>
          <w:tcPr>
            <w:tcW w:w="1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Foresite Capital</w:t>
            </w:r>
          </w:p>
        </w:tc>
        <w:tc>
          <w:tcPr>
            <w:tcW w:w="80" w:type="dxa"/>
            <w:vAlign w:val="bottom"/>
          </w:tcPr>
          <w:p>
            <w:pPr>
              <w:spacing w:after="0"/>
              <w:rPr>
                <w:sz w:val="16"/>
                <w:szCs w:val="16"/>
                <w:color w:val="auto"/>
              </w:rPr>
            </w:pPr>
          </w:p>
        </w:tc>
        <w:tc>
          <w:tcPr>
            <w:tcW w:w="1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Venture capital/private</w:t>
            </w:r>
          </w:p>
        </w:tc>
        <w:tc>
          <w:tcPr>
            <w:tcW w:w="100" w:type="dxa"/>
            <w:vAlign w:val="bottom"/>
          </w:tcPr>
          <w:p>
            <w:pPr>
              <w:spacing w:after="0"/>
              <w:rPr>
                <w:sz w:val="16"/>
                <w:szCs w:val="16"/>
                <w:color w:val="auto"/>
              </w:rPr>
            </w:pPr>
          </w:p>
        </w:tc>
        <w:tc>
          <w:tcPr>
            <w:tcW w:w="2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Member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Management V, LLC</w:t>
            </w: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DNA Nexus, Inc.</w:t>
            </w:r>
          </w:p>
        </w:tc>
        <w:tc>
          <w:tcPr>
            <w:tcW w:w="1780" w:type="dxa"/>
            <w:vAlign w:val="bottom"/>
          </w:tcPr>
          <w:p>
            <w:pPr>
              <w:spacing w:after="0"/>
              <w:rPr>
                <w:sz w:val="20"/>
                <w:szCs w:val="20"/>
                <w:color w:val="auto"/>
              </w:rPr>
            </w:pPr>
            <w:r>
              <w:rPr>
                <w:rFonts w:ascii="Arial" w:cs="Arial" w:eastAsia="Arial" w:hAnsi="Arial"/>
                <w:sz w:val="18"/>
                <w:szCs w:val="18"/>
                <w:color w:val="auto"/>
              </w:rPr>
              <w:t>Data science cloud</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platform</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Eikon Therapeutics,</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Element Biosciences,</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Evonetix, Ltd.</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F-Metabolic,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Fabric Genomics,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83"/>
        </w:trPr>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Genomics PLC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Healthverity, Inc.</w:t>
            </w:r>
          </w:p>
        </w:tc>
        <w:tc>
          <w:tcPr>
            <w:tcW w:w="1780" w:type="dxa"/>
            <w:vAlign w:val="bottom"/>
          </w:tcPr>
          <w:p>
            <w:pPr>
              <w:spacing w:after="0"/>
              <w:rPr>
                <w:sz w:val="20"/>
                <w:szCs w:val="20"/>
                <w:color w:val="auto"/>
              </w:rPr>
            </w:pPr>
            <w:r>
              <w:rPr>
                <w:rFonts w:ascii="Arial" w:cs="Arial" w:eastAsia="Arial" w:hAnsi="Arial"/>
                <w:sz w:val="18"/>
                <w:szCs w:val="18"/>
                <w:color w:val="auto"/>
              </w:rPr>
              <w:t>Healthcare data</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technology platform</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Homodeus, Inc.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Kinnate Biopharma,</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Mindstrong, Inc.</w:t>
            </w:r>
          </w:p>
        </w:tc>
        <w:tc>
          <w:tcPr>
            <w:tcW w:w="1780" w:type="dxa"/>
            <w:vAlign w:val="bottom"/>
          </w:tcPr>
          <w:p>
            <w:pPr>
              <w:spacing w:after="0"/>
              <w:rPr>
                <w:sz w:val="20"/>
                <w:szCs w:val="20"/>
                <w:color w:val="auto"/>
              </w:rPr>
            </w:pPr>
            <w:r>
              <w:rPr>
                <w:rFonts w:ascii="Arial" w:cs="Arial" w:eastAsia="Arial" w:hAnsi="Arial"/>
                <w:sz w:val="18"/>
                <w:szCs w:val="18"/>
                <w:color w:val="auto"/>
              </w:rPr>
              <w:t>Neuropsychiatric</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healthcare software</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Sestina, LLC</w:t>
            </w:r>
          </w:p>
        </w:tc>
        <w:tc>
          <w:tcPr>
            <w:tcW w:w="1780" w:type="dxa"/>
            <w:vAlign w:val="bottom"/>
          </w:tcPr>
          <w:p>
            <w:pPr>
              <w:spacing w:after="0"/>
              <w:rPr>
                <w:sz w:val="20"/>
                <w:szCs w:val="20"/>
                <w:color w:val="auto"/>
              </w:rPr>
            </w:pPr>
            <w:r>
              <w:rPr>
                <w:rFonts w:ascii="Arial" w:cs="Arial" w:eastAsia="Arial" w:hAnsi="Arial"/>
                <w:sz w:val="18"/>
                <w:szCs w:val="18"/>
                <w:color w:val="auto"/>
              </w:rPr>
              <w:t>Biotechnology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incubator</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Dennis Ryan</w:t>
            </w: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and</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Director</w:t>
            </w:r>
          </w:p>
        </w:tc>
      </w:tr>
      <w:tr>
        <w:trPr>
          <w:trHeight w:val="229"/>
        </w:trPr>
        <w:tc>
          <w:tcPr>
            <w:tcW w:w="1700" w:type="dxa"/>
            <w:vAlign w:val="bottom"/>
            <w:gridSpan w:val="2"/>
          </w:tcPr>
          <w:p>
            <w:pPr>
              <w:spacing w:after="0"/>
              <w:rPr>
                <w:sz w:val="20"/>
                <w:szCs w:val="20"/>
                <w:color w:val="auto"/>
              </w:rPr>
            </w:pPr>
            <w:r>
              <w:rPr>
                <w:rFonts w:ascii="Arial" w:cs="Arial" w:eastAsia="Arial" w:hAnsi="Arial"/>
                <w:sz w:val="18"/>
                <w:szCs w:val="18"/>
                <w:color w:val="auto"/>
              </w:rPr>
              <w:t>Michael Rome</w:t>
            </w: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Kinnate Biopharma,</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Inc.</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43"/>
        </w:trPr>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Pharvaris BV</w:t>
            </w:r>
          </w:p>
        </w:tc>
        <w:tc>
          <w:tcPr>
            <w:tcW w:w="1780" w:type="dxa"/>
            <w:vAlign w:val="bottom"/>
          </w:tcPr>
          <w:p>
            <w:pPr>
              <w:spacing w:after="0"/>
              <w:rPr>
                <w:sz w:val="20"/>
                <w:szCs w:val="20"/>
                <w:color w:val="auto"/>
              </w:rPr>
            </w:pPr>
            <w:r>
              <w:rPr>
                <w:rFonts w:ascii="Arial" w:cs="Arial" w:eastAsia="Arial" w:hAnsi="Arial"/>
                <w:sz w:val="18"/>
                <w:szCs w:val="18"/>
                <w:color w:val="auto"/>
              </w:rPr>
              <w:t>Biopharmaceutical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69"/>
        </w:trPr>
        <w:tc>
          <w:tcPr>
            <w:tcW w:w="1700" w:type="dxa"/>
            <w:vAlign w:val="bottom"/>
            <w:gridSpan w:val="2"/>
          </w:tcPr>
          <w:p>
            <w:pPr>
              <w:spacing w:after="0"/>
              <w:rPr>
                <w:sz w:val="20"/>
                <w:szCs w:val="20"/>
                <w:color w:val="auto"/>
              </w:rPr>
            </w:pPr>
            <w:r>
              <w:rPr>
                <w:rFonts w:ascii="Arial" w:cs="Arial" w:eastAsia="Arial" w:hAnsi="Arial"/>
                <w:sz w:val="18"/>
                <w:szCs w:val="18"/>
                <w:color w:val="auto"/>
              </w:rPr>
              <w:t>Vikram Bajaj</w:t>
            </w: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Capital</w:t>
            </w:r>
          </w:p>
        </w:tc>
        <w:tc>
          <w:tcPr>
            <w:tcW w:w="1780" w:type="dxa"/>
            <w:vAlign w:val="bottom"/>
          </w:tcPr>
          <w:p>
            <w:pPr>
              <w:spacing w:after="0"/>
              <w:rPr>
                <w:sz w:val="20"/>
                <w:szCs w:val="20"/>
                <w:color w:val="auto"/>
              </w:rPr>
            </w:pPr>
            <w:r>
              <w:rPr>
                <w:rFonts w:ascii="Arial" w:cs="Arial" w:eastAsia="Arial" w:hAnsi="Arial"/>
                <w:sz w:val="18"/>
                <w:szCs w:val="18"/>
                <w:color w:val="auto"/>
                <w:w w:val="98"/>
              </w:rPr>
              <w:t>Venture capital/private</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Managing Director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Foresite Labs</w:t>
            </w:r>
          </w:p>
        </w:tc>
        <w:tc>
          <w:tcPr>
            <w:tcW w:w="1780" w:type="dxa"/>
            <w:vAlign w:val="bottom"/>
          </w:tcPr>
          <w:p>
            <w:pPr>
              <w:spacing w:after="0"/>
              <w:rPr>
                <w:sz w:val="20"/>
                <w:szCs w:val="20"/>
                <w:color w:val="auto"/>
              </w:rPr>
            </w:pPr>
            <w:r>
              <w:rPr>
                <w:rFonts w:ascii="Arial" w:cs="Arial" w:eastAsia="Arial" w:hAnsi="Arial"/>
                <w:sz w:val="18"/>
                <w:szCs w:val="18"/>
                <w:color w:val="auto"/>
              </w:rPr>
              <w:t>Healthcare and data</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Chief Executive Officer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science incubator</w:t>
            </w: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Stanford University</w:t>
            </w:r>
          </w:p>
        </w:tc>
        <w:tc>
          <w:tcPr>
            <w:tcW w:w="1780" w:type="dxa"/>
            <w:vAlign w:val="bottom"/>
          </w:tcPr>
          <w:p>
            <w:pPr>
              <w:spacing w:after="0"/>
              <w:rPr>
                <w:sz w:val="20"/>
                <w:szCs w:val="20"/>
                <w:color w:val="auto"/>
              </w:rPr>
            </w:pPr>
            <w:r>
              <w:rPr>
                <w:rFonts w:ascii="Arial" w:cs="Arial" w:eastAsia="Arial" w:hAnsi="Arial"/>
                <w:sz w:val="18"/>
                <w:szCs w:val="18"/>
                <w:color w:val="auto"/>
              </w:rPr>
              <w:t>Medical school</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Associate Professor</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School of Medicine</w:t>
            </w:r>
          </w:p>
        </w:tc>
        <w:tc>
          <w:tcPr>
            <w:tcW w:w="1780" w:type="dxa"/>
            <w:vAlign w:val="bottom"/>
          </w:tcPr>
          <w:p>
            <w:pPr>
              <w:spacing w:after="0"/>
              <w:rPr>
                <w:sz w:val="18"/>
                <w:szCs w:val="18"/>
                <w:color w:val="auto"/>
              </w:rPr>
            </w:pP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(Consulting)</w:t>
            </w:r>
          </w:p>
        </w:tc>
      </w:tr>
      <w:tr>
        <w:trPr>
          <w:trHeight w:val="229"/>
        </w:trPr>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Lawrence Berkeley</w:t>
            </w:r>
          </w:p>
        </w:tc>
        <w:tc>
          <w:tcPr>
            <w:tcW w:w="1780" w:type="dxa"/>
            <w:vAlign w:val="bottom"/>
          </w:tcPr>
          <w:p>
            <w:pPr>
              <w:spacing w:after="0"/>
              <w:rPr>
                <w:sz w:val="20"/>
                <w:szCs w:val="20"/>
                <w:color w:val="auto"/>
              </w:rPr>
            </w:pPr>
            <w:r>
              <w:rPr>
                <w:rFonts w:ascii="Arial" w:cs="Arial" w:eastAsia="Arial" w:hAnsi="Arial"/>
                <w:sz w:val="18"/>
                <w:szCs w:val="18"/>
                <w:color w:val="auto"/>
              </w:rPr>
              <w:t>Scientific research</w:t>
            </w:r>
          </w:p>
        </w:tc>
        <w:tc>
          <w:tcPr>
            <w:tcW w:w="2660" w:type="dxa"/>
            <w:vAlign w:val="bottom"/>
            <w:gridSpan w:val="2"/>
          </w:tcPr>
          <w:p>
            <w:pPr>
              <w:ind w:left="100"/>
              <w:spacing w:after="0"/>
              <w:rPr>
                <w:sz w:val="20"/>
                <w:szCs w:val="20"/>
                <w:color w:val="auto"/>
              </w:rPr>
            </w:pPr>
            <w:r>
              <w:rPr>
                <w:rFonts w:ascii="Arial" w:cs="Arial" w:eastAsia="Arial" w:hAnsi="Arial"/>
                <w:sz w:val="18"/>
                <w:szCs w:val="18"/>
                <w:color w:val="auto"/>
              </w:rPr>
              <w:t>Affiliate Scientist</w:t>
            </w:r>
          </w:p>
        </w:tc>
      </w:tr>
      <w:tr>
        <w:trPr>
          <w:trHeight w:val="217"/>
        </w:trPr>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spacing w:after="0"/>
              <w:rPr>
                <w:sz w:val="20"/>
                <w:szCs w:val="20"/>
                <w:color w:val="auto"/>
              </w:rPr>
            </w:pPr>
            <w:r>
              <w:rPr>
                <w:rFonts w:ascii="Arial" w:cs="Arial" w:eastAsia="Arial" w:hAnsi="Arial"/>
                <w:sz w:val="18"/>
                <w:szCs w:val="18"/>
                <w:color w:val="auto"/>
              </w:rPr>
              <w:t>National Laboratory</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36" w:lineRule="exact"/>
        <w:rPr>
          <w:sz w:val="20"/>
          <w:szCs w:val="20"/>
          <w:color w:val="auto"/>
        </w:rPr>
      </w:pPr>
    </w:p>
    <w:p>
      <w:pPr>
        <w:ind w:left="1100" w:right="559" w:hanging="322"/>
        <w:spacing w:after="0" w:line="237" w:lineRule="auto"/>
        <w:tabs>
          <w:tab w:leader="none" w:pos="1039"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5" w:name="page106"/>
    <w:bookmarkEnd w:id="105"/>
    <w:p>
      <w:pPr>
        <w:ind w:left="1100" w:right="459" w:hanging="322"/>
        <w:spacing w:after="0" w:line="235" w:lineRule="auto"/>
        <w:tabs>
          <w:tab w:leader="none" w:pos="10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initial stockholders purchased founder shares prior to the date of this prospectus and will purchase private placement warrants in a transaction that will close simultaneously with the closing of this offering. Our initial stockholders have entered into agreements with us, pursuant to which they have agreed to waive their redemption rights with respect to their founder shares and any public shares they hold in connection with the completion of our initial business combination. The other members of our management team have entered into agreements similar to the one entered into by our initial stockholders with respect to any public shares acquired by them in or after this offering. Additionally, our initial stockholders have agreed to waive their rights to liquidating distributions from the trust account with respect to their founder shares if we fail to complete our initial business combination within the prescribed time frame or during any Extension Period. If we do not complete our initial business combination within the prescribed time frame, the private placement warrants will expire worthless. Furthermore, our initial stockholders have agreed not to transfer, assign or sell any of their founder shares until the earlier to occur of: (i) one year after the completion of our initial business combination and (ii) the date following the completion of our initial business combination on which we complete a liquidation, merger, capital stock exchange or other similar transaction that results in all of our stockholders having the right to exchange their common stock for cash, securities or other property. Notwithstanding the foregoing, if the closing price of our Class A common stock equals or exceeds $12.00 per share (as adjusted for stock splits, stock capitalizations, reorganizations, recapitalizations and the like) for any 20 trading days within any 30-trading day period commencing at least 150 days after our initial business combination, the founder shares will be released from the lockup. Subject to certain limited exceptions, the private placement warrants will not be transferable until 30 days following the completion of our initial business combination. Because each of our executive officers and director nominees will own common stock or warrants directly or indirectly, they may have a conflict of interest in determining whether a particular target business is an appropriate business with which to effectuate our initial business combination.</w:t>
      </w:r>
    </w:p>
    <w:p>
      <w:pPr>
        <w:spacing w:after="0" w:line="22" w:lineRule="exact"/>
        <w:rPr>
          <w:rFonts w:ascii="Arial" w:cs="Arial" w:eastAsia="Arial" w:hAnsi="Arial"/>
          <w:sz w:val="18"/>
          <w:szCs w:val="18"/>
          <w:color w:val="auto"/>
        </w:rPr>
      </w:pPr>
    </w:p>
    <w:p>
      <w:pPr>
        <w:ind w:left="1100" w:right="519" w:hanging="322"/>
        <w:spacing w:after="0" w:line="238" w:lineRule="auto"/>
        <w:tabs>
          <w:tab w:leader="none" w:pos="1039"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7"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which is a member of FINRA or a valuation or appraisal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our sponsor $10,000 per month for office space, secretarial and administrative services provided to members of our management team.</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31"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In the event that we submit our initial business combination to our public stockholders for a vote, our initial stockholders have agreed to vote their founder shares, and they and the other members of our management team have agreed to vote any founder shares they hold and any shares purchased during or after the offering in favor of our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06" w:name="page107"/>
    <w:bookmarkEnd w:id="106"/>
    <w:p>
      <w:pPr>
        <w:ind w:left="460" w:right="459"/>
        <w:spacing w:after="0" w:line="236" w:lineRule="auto"/>
        <w:rPr>
          <w:sz w:val="20"/>
          <w:szCs w:val="20"/>
          <w:color w:val="auto"/>
        </w:rPr>
      </w:pPr>
      <w:r>
        <w:rPr>
          <w:rFonts w:ascii="Arial" w:cs="Arial" w:eastAsia="Arial" w:hAnsi="Arial"/>
          <w:sz w:val="18"/>
          <w:szCs w:val="18"/>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 Except with respect to any public shares they may acquire in this offering or thereafter (in the event we do not consummate an initial business combination), our officers and directors have agreed to waive (and any other persons who may become an officer or director prior to the initial business combination will also be required to waive) any right, title, interest or claim of any kind in or to any monies in the trust account, and not to seek recourse against the trust account for any reason whatsoever, including with respect to such indemnification.</w:t>
      </w:r>
    </w:p>
    <w:p>
      <w:pPr>
        <w:spacing w:after="0" w:line="122"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37" w:lineRule="exact"/>
        <w:rPr>
          <w:sz w:val="20"/>
          <w:szCs w:val="20"/>
          <w:color w:val="auto"/>
        </w:rPr>
      </w:pPr>
    </w:p>
    <w:p>
      <w:pPr>
        <w:jc w:val="both"/>
        <w:ind w:left="460" w:right="939"/>
        <w:spacing w:after="0" w:line="274" w:lineRule="auto"/>
        <w:rPr>
          <w:sz w:val="20"/>
          <w:szCs w:val="20"/>
          <w:color w:val="auto"/>
        </w:rPr>
      </w:pPr>
      <w:r>
        <w:rPr>
          <w:rFonts w:ascii="Arial" w:cs="Arial" w:eastAsia="Arial" w:hAnsi="Arial"/>
          <w:sz w:val="17"/>
          <w:szCs w:val="17"/>
          <w:color w:val="auto"/>
        </w:rPr>
        <w:t>We believe that these provisions, the directors’ and officers’ liability insurance and the indemnity agreements are necessary to attract and retain talented and experienced officers and directors.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166" w:lineRule="exact"/>
        <w:rPr>
          <w:sz w:val="20"/>
          <w:szCs w:val="20"/>
          <w:color w:val="auto"/>
        </w:rPr>
      </w:pPr>
    </w:p>
    <w:p>
      <w:pPr>
        <w:ind w:left="460" w:right="479"/>
        <w:spacing w:after="0" w:line="259" w:lineRule="auto"/>
        <w:rPr>
          <w:sz w:val="20"/>
          <w:szCs w:val="20"/>
          <w:color w:val="auto"/>
        </w:rPr>
      </w:pPr>
      <w:r>
        <w:rPr>
          <w:rFonts w:ascii="Arial" w:cs="Arial" w:eastAsia="Arial" w:hAnsi="Arial"/>
          <w:sz w:val="17"/>
          <w:szCs w:val="17"/>
          <w:color w:val="auto"/>
        </w:rPr>
        <w:t>The following table sets forth information regarding the beneficial ownership of our common stock as of the date of this prospectus, and as adjusted to reflect the sale of our Class A common stock included in the units offered by this prospectus, and assuming no purchase of units in this offering, by:</w:t>
      </w:r>
    </w:p>
    <w:p>
      <w:pPr>
        <w:spacing w:after="0" w:line="2" w:lineRule="exact"/>
        <w:rPr>
          <w:sz w:val="20"/>
          <w:szCs w:val="20"/>
          <w:color w:val="auto"/>
        </w:rPr>
      </w:pPr>
    </w:p>
    <w:p>
      <w:pPr>
        <w:ind w:left="1100" w:right="979" w:hanging="322"/>
        <w:spacing w:after="0" w:line="246" w:lineRule="auto"/>
        <w:tabs>
          <w:tab w:leader="none" w:pos="1039"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shares of common stock;</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and</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common stock beneficially owned by them. The following table does not reflect record or beneficial ownership of the private placement warrants as these warrants are not exercisable within 60 days of the date of this prospectus.</w:t>
      </w:r>
    </w:p>
    <w:p>
      <w:pPr>
        <w:spacing w:after="0" w:line="13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outstanding was determined based on the expectation that the total size of this offering would be a maximum of 11,500,000 units if the underwriters’ over-allotment option is exercised in full, and therefore that such founder shares would represent 20% of the outstanding shares after this offering. Up to 375,000 of the founder shares will be forfeited depending on the extent to which the underwriters’ over-allotment is exercised. The post-offering percentages in the following table assume that the underwriters do not exercise their over-allotment option, that our initial stockholders have forfeited 375,000 founder shares, and that there are 12,500,000 shares of common stock issued and outstanding after this offering.</w:t>
      </w:r>
    </w:p>
    <w:p>
      <w:pPr>
        <w:spacing w:after="0" w:line="150"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Number of</w:t>
            </w:r>
          </w:p>
        </w:tc>
        <w:tc>
          <w:tcPr>
            <w:tcW w:w="2440" w:type="dxa"/>
            <w:vAlign w:val="bottom"/>
            <w:gridSpan w:val="3"/>
          </w:tcPr>
          <w:p>
            <w:pPr>
              <w:jc w:val="right"/>
              <w:ind w:right="213"/>
              <w:spacing w:after="0"/>
              <w:rPr>
                <w:sz w:val="20"/>
                <w:szCs w:val="20"/>
                <w:color w:val="auto"/>
              </w:rPr>
            </w:pPr>
            <w:r>
              <w:rPr>
                <w:rFonts w:ascii="Arial" w:cs="Arial" w:eastAsia="Arial" w:hAnsi="Arial"/>
                <w:sz w:val="14"/>
                <w:szCs w:val="14"/>
                <w:b w:val="1"/>
                <w:bCs w:val="1"/>
                <w:color w:val="auto"/>
              </w:rPr>
              <w:t>Approximate Percentage of</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w:t>
            </w:r>
          </w:p>
        </w:tc>
        <w:tc>
          <w:tcPr>
            <w:tcW w:w="2440" w:type="dxa"/>
            <w:vAlign w:val="bottom"/>
            <w:gridSpan w:val="3"/>
          </w:tcPr>
          <w:p>
            <w:pPr>
              <w:jc w:val="right"/>
              <w:ind w:right="173"/>
              <w:spacing w:after="0"/>
              <w:rPr>
                <w:sz w:val="20"/>
                <w:szCs w:val="20"/>
                <w:color w:val="auto"/>
              </w:rPr>
            </w:pPr>
            <w:r>
              <w:rPr>
                <w:rFonts w:ascii="Arial" w:cs="Arial" w:eastAsia="Arial" w:hAnsi="Arial"/>
                <w:sz w:val="14"/>
                <w:szCs w:val="14"/>
                <w:b w:val="1"/>
                <w:bCs w:val="1"/>
                <w:color w:val="auto"/>
              </w:rPr>
              <w:t>Outstanding Common Stock</w:t>
            </w:r>
          </w:p>
        </w:tc>
        <w:tc>
          <w:tcPr>
            <w:tcW w:w="0" w:type="dxa"/>
            <w:vAlign w:val="bottom"/>
          </w:tcPr>
          <w:p>
            <w:pPr>
              <w:spacing w:after="0"/>
              <w:rPr>
                <w:sz w:val="1"/>
                <w:szCs w:val="1"/>
                <w:color w:val="auto"/>
              </w:rPr>
            </w:pPr>
          </w:p>
        </w:tc>
      </w:tr>
      <w:tr>
        <w:trPr>
          <w:trHeight w:val="67"/>
        </w:trPr>
        <w:tc>
          <w:tcPr>
            <w:tcW w:w="15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Beneficially</w:t>
            </w:r>
          </w:p>
        </w:tc>
        <w:tc>
          <w:tcPr>
            <w:tcW w:w="11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15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6"/>
                <w:szCs w:val="16"/>
                <w:b w:val="1"/>
                <w:bCs w:val="1"/>
                <w:color w:val="auto"/>
                <w:vertAlign w:val="superscript"/>
              </w:rPr>
              <w:t>(1)</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5"/>
                <w:szCs w:val="25"/>
                <w:b w:val="1"/>
                <w:bCs w:val="1"/>
                <w:color w:val="auto"/>
                <w:w w:val="93"/>
                <w:vertAlign w:val="subscript"/>
              </w:rPr>
              <w:t>Owned</w:t>
            </w:r>
            <w:r>
              <w:rPr>
                <w:rFonts w:ascii="Arial" w:cs="Arial" w:eastAsia="Arial" w:hAnsi="Arial"/>
                <w:sz w:val="8"/>
                <w:szCs w:val="8"/>
                <w:b w:val="1"/>
                <w:bCs w:val="1"/>
                <w:color w:val="auto"/>
                <w:w w:val="93"/>
              </w:rPr>
              <w:t>(2)(4)</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Before Offering</w:t>
            </w:r>
          </w:p>
        </w:tc>
        <w:tc>
          <w:tcPr>
            <w:tcW w:w="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After Offering</w:t>
            </w:r>
          </w:p>
        </w:tc>
        <w:tc>
          <w:tcPr>
            <w:tcW w:w="0" w:type="dxa"/>
            <w:vAlign w:val="bottom"/>
          </w:tcPr>
          <w:p>
            <w:pPr>
              <w:spacing w:after="0"/>
              <w:rPr>
                <w:sz w:val="1"/>
                <w:szCs w:val="1"/>
                <w:color w:val="auto"/>
              </w:rPr>
            </w:pPr>
          </w:p>
        </w:tc>
      </w:tr>
      <w:tr>
        <w:trPr>
          <w:trHeight w:val="263"/>
        </w:trPr>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FS Development Holdings, LLC (our sponsor)</w:t>
            </w:r>
            <w:r>
              <w:rPr>
                <w:rFonts w:ascii="Arial" w:cs="Arial" w:eastAsia="Arial" w:hAnsi="Arial"/>
                <w:sz w:val="20"/>
                <w:szCs w:val="20"/>
                <w:color w:val="auto"/>
                <w:vertAlign w:val="superscript"/>
              </w:rPr>
              <w:t>(3)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83"/>
        </w:trPr>
        <w:tc>
          <w:tcPr>
            <w:tcW w:w="1540" w:type="dxa"/>
            <w:vAlign w:val="bottom"/>
          </w:tcPr>
          <w:p>
            <w:pPr>
              <w:spacing w:after="0"/>
              <w:rPr>
                <w:sz w:val="20"/>
                <w:szCs w:val="20"/>
                <w:color w:val="auto"/>
              </w:rPr>
            </w:pPr>
            <w:r>
              <w:rPr>
                <w:rFonts w:ascii="Arial" w:cs="Arial" w:eastAsia="Arial" w:hAnsi="Arial"/>
                <w:sz w:val="18"/>
                <w:szCs w:val="18"/>
                <w:color w:val="auto"/>
              </w:rPr>
              <w:t>Jim Tananbaum</w:t>
            </w:r>
            <w:r>
              <w:rPr>
                <w:rFonts w:ascii="Arial" w:cs="Arial" w:eastAsia="Arial" w:hAnsi="Arial"/>
                <w:sz w:val="20"/>
                <w:szCs w:val="20"/>
                <w:color w:val="auto"/>
                <w:vertAlign w:val="superscript"/>
              </w:rPr>
              <w:t>(3)</w:t>
            </w:r>
          </w:p>
        </w:tc>
        <w:tc>
          <w:tcPr>
            <w:tcW w:w="2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2,875,000</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4"/>
        </w:trPr>
        <w:tc>
          <w:tcPr>
            <w:tcW w:w="1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Michael Rome</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540" w:type="dxa"/>
            <w:vAlign w:val="bottom"/>
          </w:tcPr>
          <w:p>
            <w:pPr>
              <w:spacing w:after="0"/>
              <w:rPr>
                <w:sz w:val="20"/>
                <w:szCs w:val="20"/>
                <w:color w:val="auto"/>
              </w:rPr>
            </w:pPr>
            <w:r>
              <w:rPr>
                <w:rFonts w:ascii="Arial" w:cs="Arial" w:eastAsia="Arial" w:hAnsi="Arial"/>
                <w:sz w:val="18"/>
                <w:szCs w:val="18"/>
                <w:color w:val="auto"/>
              </w:rPr>
              <w:t>Dennis Ryan</w:t>
            </w:r>
          </w:p>
        </w:tc>
        <w:tc>
          <w:tcPr>
            <w:tcW w:w="2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1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Vikram Bajaj</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60" w:type="dxa"/>
            <w:vAlign w:val="bottom"/>
            <w:gridSpan w:val="3"/>
          </w:tcPr>
          <w:p>
            <w:pPr>
              <w:spacing w:after="0" w:line="201" w:lineRule="exact"/>
              <w:rPr>
                <w:sz w:val="20"/>
                <w:szCs w:val="20"/>
                <w:color w:val="auto"/>
              </w:rPr>
            </w:pPr>
            <w:r>
              <w:rPr>
                <w:rFonts w:ascii="Arial" w:cs="Arial" w:eastAsia="Arial" w:hAnsi="Arial"/>
                <w:sz w:val="18"/>
                <w:szCs w:val="18"/>
                <w:color w:val="auto"/>
              </w:rPr>
              <w:t>All executive officers, directors and director nominees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540" w:type="dxa"/>
            <w:vAlign w:val="bottom"/>
          </w:tcPr>
          <w:p>
            <w:pPr>
              <w:ind w:left="180"/>
              <w:spacing w:after="0"/>
              <w:rPr>
                <w:sz w:val="20"/>
                <w:szCs w:val="20"/>
                <w:color w:val="auto"/>
              </w:rPr>
            </w:pPr>
            <w:r>
              <w:rPr>
                <w:rFonts w:ascii="Arial" w:cs="Arial" w:eastAsia="Arial" w:hAnsi="Arial"/>
                <w:sz w:val="18"/>
                <w:szCs w:val="18"/>
                <w:color w:val="auto"/>
              </w:rPr>
              <w:t>as a group ([</w:t>
            </w:r>
          </w:p>
        </w:tc>
        <w:tc>
          <w:tcPr>
            <w:tcW w:w="2920" w:type="dxa"/>
            <w:vAlign w:val="bottom"/>
            <w:gridSpan w:val="2"/>
          </w:tcPr>
          <w:p>
            <w:pPr>
              <w:ind w:left="140"/>
              <w:spacing w:after="0"/>
              <w:rPr>
                <w:sz w:val="20"/>
                <w:szCs w:val="20"/>
                <w:color w:val="auto"/>
              </w:rPr>
            </w:pPr>
            <w:r>
              <w:rPr>
                <w:rFonts w:ascii="Arial" w:cs="Arial" w:eastAsia="Arial" w:hAnsi="Arial"/>
                <w:sz w:val="18"/>
                <w:szCs w:val="18"/>
                <w:color w:val="auto"/>
              </w:rPr>
              <w:t>] individuals)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2,875,000</w:t>
            </w:r>
          </w:p>
        </w:tc>
        <w:tc>
          <w:tcPr>
            <w:tcW w:w="11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39" w:hanging="426"/>
        <w:spacing w:after="0" w:line="216" w:lineRule="auto"/>
        <w:tabs>
          <w:tab w:leader="none" w:pos="847" w:val="left"/>
        </w:tabs>
        <w:numPr>
          <w:ilvl w:val="0"/>
          <w:numId w:val="55"/>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is 600 Montgomery Street, Suite 4500, San Francisco, California 94111.</w:t>
      </w:r>
    </w:p>
    <w:p>
      <w:pPr>
        <w:ind w:left="880" w:right="519" w:hanging="426"/>
        <w:spacing w:after="0" w:line="216" w:lineRule="auto"/>
        <w:tabs>
          <w:tab w:leader="none" w:pos="847"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Interests shown consist solely of founder shares, classified as Class B common stock. Such shares will automatically convert into Class A common stock concurrently with or immediately following the consummation of our initial business combination on a one-for-one basis, subject to adjustment, as described in the section entitled “Description of Securities.”</w:t>
      </w:r>
    </w:p>
    <w:p>
      <w:pPr>
        <w:spacing w:after="0" w:line="1" w:lineRule="exact"/>
        <w:rPr>
          <w:rFonts w:ascii="Arial" w:cs="Arial" w:eastAsia="Arial" w:hAnsi="Arial"/>
          <w:sz w:val="13"/>
          <w:szCs w:val="13"/>
          <w:color w:val="auto"/>
        </w:rPr>
      </w:pPr>
    </w:p>
    <w:p>
      <w:pPr>
        <w:ind w:left="880" w:right="499" w:hanging="426"/>
        <w:spacing w:after="0" w:line="216" w:lineRule="auto"/>
        <w:tabs>
          <w:tab w:leader="none" w:pos="847" w:val="left"/>
        </w:tabs>
        <w:numPr>
          <w:ilvl w:val="0"/>
          <w:numId w:val="55"/>
        </w:numPr>
        <w:rPr>
          <w:rFonts w:ascii="Arial" w:cs="Arial" w:eastAsia="Arial" w:hAnsi="Arial"/>
          <w:sz w:val="13"/>
          <w:szCs w:val="13"/>
          <w:color w:val="auto"/>
        </w:rPr>
      </w:pPr>
      <w:r>
        <w:rPr>
          <w:rFonts w:ascii="Arial" w:cs="Arial" w:eastAsia="Arial" w:hAnsi="Arial"/>
          <w:sz w:val="13"/>
          <w:szCs w:val="13"/>
          <w:color w:val="auto"/>
        </w:rPr>
        <w:t>FS Development Holdings, LLC is the record holder of the shares reported herein. Foresite Capital Management V, LLC (“FCM V”), as the sole member of FS Development Holdings, LLC has voting and investment discretion with respect to the common stock held of record by FS Development Holdings, LLC. Mr. Tananbaum, in his capacity as managing member of FCM V, may be deemed to have sole voting and investment discretion over these shares. Each of FCM V, its members and Mr. Tananbaum disclaim beneficial ownership of these shares except to the extent of any pecuniary interest therein.</w:t>
      </w:r>
    </w:p>
    <w:p>
      <w:pPr>
        <w:spacing w:after="0" w:line="2" w:lineRule="exact"/>
        <w:rPr>
          <w:rFonts w:ascii="Arial" w:cs="Arial" w:eastAsia="Arial" w:hAnsi="Arial"/>
          <w:sz w:val="13"/>
          <w:szCs w:val="13"/>
          <w:color w:val="auto"/>
        </w:rPr>
      </w:pPr>
    </w:p>
    <w:p>
      <w:pPr>
        <w:ind w:left="880" w:right="679" w:hanging="426"/>
        <w:spacing w:after="0" w:line="230" w:lineRule="auto"/>
        <w:tabs>
          <w:tab w:leader="none" w:pos="847"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up to 375,000 founder shares, that will be forfeited depending on the extent to which the underwriters’ over-allotment option is exercised.</w:t>
      </w:r>
    </w:p>
    <w:p>
      <w:pPr>
        <w:spacing w:after="0" w:line="137" w:lineRule="exact"/>
        <w:rPr>
          <w:sz w:val="20"/>
          <w:szCs w:val="20"/>
          <w:color w:val="auto"/>
        </w:rPr>
      </w:pPr>
    </w:p>
    <w:p>
      <w:pPr>
        <w:ind w:left="460" w:right="459"/>
        <w:spacing w:after="0" w:line="237" w:lineRule="auto"/>
        <w:rPr>
          <w:sz w:val="20"/>
          <w:szCs w:val="20"/>
          <w:color w:val="auto"/>
        </w:rPr>
      </w:pPr>
      <w:r>
        <w:rPr>
          <w:rFonts w:ascii="Arial" w:cs="Arial" w:eastAsia="Arial" w:hAnsi="Arial"/>
          <w:sz w:val="18"/>
          <w:szCs w:val="18"/>
          <w:color w:val="auto"/>
        </w:rPr>
        <w:t>Immediately after this offering, our initial stockholders will beneficially own 20.0% of the then issued and outstanding common stock (assuming they do not purchase any units in this offering). Because of this ownership block, our initial stockholders may be able to effectively influence the outcome of all other matters requiring approval by our stockholders, including amendments to our amended and restated certificate of incorporation and approval of significant corporate transactions including our initial business combination.</w:t>
      </w:r>
    </w:p>
    <w:p>
      <w:pPr>
        <w:spacing w:after="0" w:line="124"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Our sponsor has committed, pursuant to a written agreement, to purchase an aggregate of 2,666,667 private placement warrants (or 2,866,667 warrants if the underwriters’ over-allotment option is exercised in full), at a price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08" w:name="page109"/>
    <w:bookmarkEnd w:id="108"/>
    <w:p>
      <w:pPr>
        <w:ind w:left="460" w:right="539"/>
        <w:spacing w:after="0" w:line="235" w:lineRule="auto"/>
        <w:rPr>
          <w:sz w:val="20"/>
          <w:szCs w:val="20"/>
          <w:color w:val="auto"/>
        </w:rPr>
      </w:pPr>
      <w:r>
        <w:rPr>
          <w:rFonts w:ascii="Arial" w:cs="Arial" w:eastAsia="Arial" w:hAnsi="Arial"/>
          <w:sz w:val="18"/>
          <w:szCs w:val="18"/>
          <w:color w:val="auto"/>
        </w:rPr>
        <w:t>of $1.50 per warrant, or $4,000,000 in the aggregate (or $4,300,000 if the underwriters’ over-allotment option is exercised in full), in a private placement that will occur simultaneously with the closing of this offering. Each private placement warrant entitles the holder to purchase one share of Class A common stock at $11.50 per share. A portion of the purchase price of the private placement warrants will be added to the proceeds from this offering to be held in the trust account such that at the time of closing of this offering $ 100 million (or $115 million if the underwriters exercise their over-allotment option in full) will be held in the trust account. If we do not complete our initial business combination within 24 months from the closing of this offering, the private placement warrants will expire worthless. The private placement warrants are subject to the transfer restrictions described below. The private placement warrants will not be redeemable by us so long as they are held by the initial purchasers or their permitted transferees. The initial purchasers, or their permitted transferees, have the option to exercise the private placement warrants on a cashless basis. If the private placement warrants are held by holders other than initial purchasers or their permitted transferees, the private placement warrants will be redeemable by us and exercisable by the holders on the same basis as the warrants included in the units being sold in this offering. Otherwise, the private placement warrants have terms and provisions that are identical to those of the warrants being sold as part of the units in this offering.</w:t>
      </w:r>
    </w:p>
    <w:p>
      <w:pPr>
        <w:spacing w:after="0" w:line="132" w:lineRule="exact"/>
        <w:rPr>
          <w:sz w:val="20"/>
          <w:szCs w:val="20"/>
          <w:color w:val="auto"/>
        </w:rPr>
      </w:pPr>
    </w:p>
    <w:p>
      <w:pPr>
        <w:ind w:left="460" w:right="1119"/>
        <w:spacing w:after="0" w:line="246" w:lineRule="auto"/>
        <w:rPr>
          <w:sz w:val="20"/>
          <w:szCs w:val="20"/>
          <w:color w:val="auto"/>
        </w:rPr>
      </w:pPr>
      <w:r>
        <w:rPr>
          <w:rFonts w:ascii="Arial" w:cs="Arial" w:eastAsia="Arial" w:hAnsi="Arial"/>
          <w:sz w:val="18"/>
          <w:szCs w:val="18"/>
          <w:color w:val="auto"/>
        </w:rPr>
        <w:t>FS Development Holdings, LLC, our sponsor and our executive officers are deemed to be our “promoters” as such term is defined under the federal securities laws.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66" w:lineRule="exact"/>
        <w:rPr>
          <w:sz w:val="20"/>
          <w:szCs w:val="20"/>
          <w:color w:val="auto"/>
        </w:rPr>
      </w:pPr>
    </w:p>
    <w:p>
      <w:pPr>
        <w:ind w:left="460" w:right="619"/>
        <w:spacing w:after="0" w:line="248" w:lineRule="auto"/>
        <w:rPr>
          <w:sz w:val="20"/>
          <w:szCs w:val="20"/>
          <w:color w:val="auto"/>
        </w:rPr>
      </w:pPr>
      <w:r>
        <w:rPr>
          <w:rFonts w:ascii="Arial" w:cs="Arial" w:eastAsia="Arial" w:hAnsi="Arial"/>
          <w:sz w:val="17"/>
          <w:szCs w:val="17"/>
          <w:color w:val="auto"/>
        </w:rPr>
        <w:t>The founder shares, private placement warrants and any shares of Class A common stock issued upon conversion or exercise thereof are each subject to transfer restrictions pursuant to lock-up provisions in the agreements entered into by our initial stockholders and management team. Those lock-up provisions provide that such securities are not transferable or salable (i) in the case of the founder shares,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and</w:t>
      </w:r>
    </w:p>
    <w:p>
      <w:pPr>
        <w:spacing w:after="0" w:line="6" w:lineRule="exact"/>
        <w:rPr>
          <w:sz w:val="20"/>
          <w:szCs w:val="20"/>
          <w:color w:val="auto"/>
        </w:rPr>
      </w:pPr>
    </w:p>
    <w:p>
      <w:pPr>
        <w:ind w:left="460" w:right="499" w:hanging="6"/>
        <w:spacing w:after="0" w:line="235" w:lineRule="auto"/>
        <w:tabs>
          <w:tab w:leader="none" w:pos="71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the case of the private placement warrants and the respective shares of Class A common stock underlying such warrants, until 30 days after the completion of our initial business combination except in each case (a) to our officers or directors, any affiliate or family member of any of our officers or directors, any affiliate of our sponsor or to any member of the sponsor or any of their affiliates, (b) in the case of an individual, as a gift to such person’s immediate family or to a trust, the beneficiary of which is a member of such person’s immediate family, an affiliate of such person or to a charitable organization; (c) in the case of an individual, by virtue of laws of descent and distribution upon death of such person; (d) in the case of an individual, pursuant to a qualified domestic relations order; (e) by private sales or transfers made in connection with any forward purchase agreement or similar arrangement or in connection with the consummation of a business combination at prices no greater than the price at which the shares or warrants were originally purchased; (f) by virtue of the laws of the State of Delaware or our Sponsor’s limited liability company agreement upon dissolution of our Sponsor, (g) in the event of our liquidation prior to our consummation of our initial business combination; or (h) in the event that, subsequent to our consummation of an initial business combination, we complete a liquidation, merger, capital stock exchange or other similar transaction which results in all of our stockholders having the right to exchange their Class A common stock for cash, securities or other property; provided, however, that in the case of clauses (a) through (f) these permitted transferees must enter into a written agreement agreeing to be bound by these transfer restrictions and the other restrictions contained in the letter agreement.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The holders of the (i) founder shares, which were issued in a private placement prior to the closing of this offering, (ii) private placement warrants, which will be issued in a private placement simultaneously with the closing of this offering and the shares of Class A common stock underlying such private placement warrants and (iii) private placement warrants that may be issued upon conversion of working capital loans will have registration rights to require us to register a sale of any of our securities held by them pursuant to a registration rights agreement to be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09" w:name="page110"/>
    <w:bookmarkEnd w:id="109"/>
    <w:p>
      <w:pPr>
        <w:ind w:left="460" w:right="479"/>
        <w:spacing w:after="0" w:line="235" w:lineRule="auto"/>
        <w:rPr>
          <w:sz w:val="20"/>
          <w:szCs w:val="20"/>
          <w:color w:val="auto"/>
        </w:rPr>
      </w:pPr>
      <w:r>
        <w:rPr>
          <w:rFonts w:ascii="Arial" w:cs="Arial" w:eastAsia="Arial" w:hAnsi="Arial"/>
          <w:sz w:val="18"/>
          <w:szCs w:val="18"/>
          <w:color w:val="auto"/>
        </w:rPr>
        <w:t>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6,741,667 shares of Class A common stock and 3,866,667 warrants. The number of shares of Class A common stock includes (i) 2,875,000 shares of Class A common stock to be issued upon conversion of the founder shares, (ii) 2,866,667 shares of Class A common stock underlying the private placement warrants and (iii) 1,000,000 shares of Class A common stock underlying the private placement warrants issued upon conversion of working capital loans. The number of warrants includes 2,866,667 private placement warrants and 1,000,000 private placement warrants issued upon conversion of working capital loans.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On June 30, 2020 our sponsor purchased an aggregate 2,875,000 founder shares for a total purchase price of $25,000, or approximately $0.009 per share. The number of founder shares outstanding was determined based on the expectation that the total size of this offering would be a maximum of 11,500,000 units if the underwriters’ over-allotment option is exercised in full, and therefore that such founder shares would represent 20% of the outstanding shares after this offering. Up to 375,000 of the founder shares will be forfeited depending on the extent to which the underwriters’ over-allotment is exercised. If we increase or decrease the size of the offering, we will effect a stock dividend or share contribution back to capital or other appropriate mechanism, as applicable, with respect to our Class B common stock immediately prior to the consummation of this offering in such amount as to maintain the number of founder shares at 20.0% of our issued and outstanding common stock upon the consummation of this offering.</w:t>
      </w:r>
    </w:p>
    <w:p>
      <w:pPr>
        <w:spacing w:after="0" w:line="124"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Our sponsor has committed, pursuant to a written agreement, to purchase an aggregate of 2,666,667 private placement warrants (or 2,866,667 warrants if the underwriters’ over-allotment option is exercised in full), at a price of $1.50 per warrant, or $4,000,000 in the aggregate (or $4,300,000 if the underwriters’ over-allotment option is exercised in full), in a private placement that will close simultaneously with the closing of this offering. Each private placement warrant entitles the holder to purchase one share of Class A common stock at $11.50 per share. The private placement warrants (including the Class A common stock issuable upon exercise of the private placement warrants) may not, subject to certain limited exceptions, be transferred, assigned or sold until 30 days after the completion of our initial business combination.</w:t>
      </w:r>
    </w:p>
    <w:p>
      <w:pPr>
        <w:spacing w:after="0" w:line="139"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We currently utilize office space at 600 Montgomery Street, Suite 4500, San Francisco, California 94111 from our sponsor. Subsequent to the closing of this offering, we will pay our sponsor $10,000 per month for office space, secretarial and administrative services provided to members of our management team. Upon completion of our initial business combination or our liquidation, we will cease paying these monthly fees.</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No compensation of any kind, including finder’s and consulting fees, will be paid by the company to our sponsor, executive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w:t>
      </w:r>
    </w:p>
    <w:p>
      <w:pPr>
        <w:spacing w:after="0" w:line="122"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Prior to the closing of this offering, our sponsor may loan us funds to be used for a portion of the expenses of this offering. These loans would be non-interest bearing, unsecured and are due at the earlier of December 31, 2020 or the closing of this offering.</w:t>
      </w:r>
    </w:p>
    <w:p>
      <w:pPr>
        <w:spacing w:after="0" w:line="135"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on a non-interest basis.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$ 1,500,000 of such loans may be convertible into warrants of the post business combination entity at a price of $1.50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46" w:lineRule="exact"/>
        <w:rPr>
          <w:sz w:val="20"/>
          <w:szCs w:val="20"/>
          <w:color w:val="auto"/>
        </w:rPr>
      </w:pPr>
    </w:p>
    <w:p>
      <w:pPr>
        <w:ind w:left="460" w:right="499"/>
        <w:spacing w:after="0"/>
        <w:rPr>
          <w:sz w:val="20"/>
          <w:szCs w:val="20"/>
          <w:color w:val="auto"/>
        </w:rPr>
      </w:pPr>
      <w:r>
        <w:rPr>
          <w:rFonts w:ascii="Arial" w:cs="Arial" w:eastAsia="Arial" w:hAnsi="Arial"/>
          <w:sz w:val="18"/>
          <w:szCs w:val="18"/>
          <w:color w:val="auto"/>
        </w:rPr>
        <w:t>Any of the foregoing payments to our sponsor, repayments of loans from our sponsor or repayments of working capital loans prior to our initial business combination will be made using funds held outside the trust account.</w:t>
      </w:r>
    </w:p>
    <w:p>
      <w:pPr>
        <w:spacing w:after="0" w:line="122"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After our initial business combination, members of our management team who remain with us may be paid consulting, management or other fees from the combined company with any and all amounts being fully disclosed to our stockholders, to the extent then known, in the proxy solicitation or tender offer materials, as applicable, furnished to our stockholders. It is unlikely the amount of such compensation will be known at the time of</w:t>
      </w:r>
    </w:p>
    <w:p>
      <w:pPr>
        <w:sectPr>
          <w:pgSz w:w="11900" w:h="16838" w:orient="portrait"/>
          <w:cols w:equalWidth="0" w:num="1">
            <w:col w:w="9019"/>
          </w:cols>
          <w:pgMar w:left="1440" w:top="333" w:right="1440"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11" w:name="page112"/>
    <w:bookmarkEnd w:id="111"/>
    <w:p>
      <w:pPr>
        <w:ind w:left="460" w:right="579"/>
        <w:spacing w:after="0"/>
        <w:rPr>
          <w:sz w:val="20"/>
          <w:szCs w:val="20"/>
          <w:color w:val="auto"/>
        </w:rPr>
      </w:pPr>
      <w:r>
        <w:rPr>
          <w:rFonts w:ascii="Arial" w:cs="Arial" w:eastAsia="Arial" w:hAnsi="Arial"/>
          <w:sz w:val="18"/>
          <w:szCs w:val="18"/>
          <w:color w:val="auto"/>
        </w:rPr>
        <w:t>distribution of such tender offer materials or at the time of a stockholder meeting held to consider our initial business combination, as applicable, as it will be up to the directors of the post-combination business to determine executive and director compensation.</w:t>
      </w:r>
    </w:p>
    <w:p>
      <w:pPr>
        <w:spacing w:after="0" w:line="122" w:lineRule="exact"/>
        <w:rPr>
          <w:sz w:val="20"/>
          <w:szCs w:val="20"/>
          <w:color w:val="auto"/>
        </w:rPr>
      </w:pPr>
    </w:p>
    <w:p>
      <w:pPr>
        <w:ind w:left="460" w:right="659"/>
        <w:spacing w:after="0"/>
        <w:rPr>
          <w:sz w:val="20"/>
          <w:szCs w:val="20"/>
          <w:color w:val="auto"/>
        </w:rPr>
      </w:pPr>
      <w:r>
        <w:rPr>
          <w:rFonts w:ascii="Arial" w:cs="Arial" w:eastAsia="Arial" w:hAnsi="Arial"/>
          <w:sz w:val="18"/>
          <w:szCs w:val="18"/>
          <w:color w:val="auto"/>
        </w:rPr>
        <w:t>We have entered into a registration rights agreement with respect to the founder shares and private placement warrants, which is described under the heading “Principal Stockholders — Registration Rights.”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66" w:lineRule="exact"/>
        <w:rPr>
          <w:sz w:val="20"/>
          <w:szCs w:val="20"/>
          <w:color w:val="auto"/>
        </w:rPr>
      </w:pPr>
    </w:p>
    <w:p>
      <w:pPr>
        <w:ind w:left="460" w:right="499"/>
        <w:spacing w:after="0" w:line="234" w:lineRule="auto"/>
        <w:rPr>
          <w:sz w:val="20"/>
          <w:szCs w:val="20"/>
          <w:color w:val="auto"/>
        </w:rPr>
      </w:pPr>
      <w:r>
        <w:rPr>
          <w:rFonts w:ascii="Arial" w:cs="Arial" w:eastAsia="Arial" w:hAnsi="Arial"/>
          <w:sz w:val="18"/>
          <w:szCs w:val="18"/>
          <w:color w:val="auto"/>
        </w:rPr>
        <w:t>The audit committee of our board of directors will adopt a policy setting forth the policies and procedures for its review and approval or ratification of “related party transactions.” A “related party transaction” is any consummated or proposed transaction or series of transactions: (i) in which the company was or is to be a participant; (ii) the amount of which exceeds (or is reasonably expected to exceed) the lesser of $120,000 or 1% of the average of the company’s total assets at year end for the prior two completed fiscal years in the aggregate over the duration of the transaction (without regard to profit or loss); and (iii) in which a “related party” had, has or will have a direct or indirect material interest. “Related parties” under this policy will include: (i) our directors, nominees for director or executive officers; (ii) any record or beneficial owner of more than 5% of any class of our voting securities; (iii) any immediate family member of any of the foregoing if the foregoing person is a natural person; and (iv) any other person who maybe a “related person” pursuant to Item 404 of Regulation S-K under the Exchange Act. Pursuant to the policy, the audit committee will consider</w:t>
      </w:r>
    </w:p>
    <w:p>
      <w:pPr>
        <w:spacing w:after="0" w:line="8" w:lineRule="exact"/>
        <w:rPr>
          <w:sz w:val="20"/>
          <w:szCs w:val="20"/>
          <w:color w:val="auto"/>
        </w:rPr>
      </w:pPr>
    </w:p>
    <w:p>
      <w:pPr>
        <w:ind w:left="460" w:right="519" w:hanging="6"/>
        <w:spacing w:after="0" w:line="251" w:lineRule="auto"/>
        <w:tabs>
          <w:tab w:leader="none" w:pos="67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relevant facts and circumstances of each related party transaction, including if the transaction is on terms comparable to those that could be obtained in arm’s-length dealings with an unrelated third party, (ii) the extent of the related party’s interest in the transaction, (iii) whether the transaction contravenes our code of ethics or other policies, (iv) whether the audit committee believes the relationship underlying the transaction to be in the best interests of the company and its stockholders and (v) the effect that the transaction may have on a director’s status as an independent member of the board and on his or her eligibility to serve on the board’s committees. Management will present to the audit committee each proposed related party transaction, including all relevant facts and circumstances relating thereto. Under the policy, we may consummate related party transactions only if our audit committee approves or ratifies the transaction in accordance with the guidelines set forth in the policy. The policy will not permit any director or executive officer to participate in the discussion of, or decision concerning, a related person transaction in which he or she is the related party.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are a Delaware corporation and our affairs are governed by our amended and restated certificate of incorporation and the DGCL. Pursuant to our amended and restated certificate of incorporation which will be adopted prior to the consummation of this offering, we will be authorized to issue 200,000,000 shares of common stock, $0.0001 par value each, including 180,000,000 shares of Class A common stock and 10,000,000 shares of Class B common stock, as well as 1,000,000 shares of preferred stock, $0.0001 par value each. The following description summarizes certain terms of our capital stock as set out more particularly in our amended and restated certificate of incorporation. Because it is only a summary, it may not contain all the information that is important to you.</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53" w:lineRule="exact"/>
        <w:rPr>
          <w:sz w:val="20"/>
          <w:szCs w:val="20"/>
          <w:color w:val="auto"/>
        </w:rPr>
      </w:pPr>
    </w:p>
    <w:p>
      <w:pPr>
        <w:ind w:left="460" w:right="479"/>
        <w:spacing w:after="0" w:line="234" w:lineRule="auto"/>
        <w:rPr>
          <w:sz w:val="20"/>
          <w:szCs w:val="20"/>
          <w:color w:val="auto"/>
        </w:rPr>
      </w:pPr>
      <w:r>
        <w:rPr>
          <w:rFonts w:ascii="Arial" w:cs="Arial" w:eastAsia="Arial" w:hAnsi="Arial"/>
          <w:sz w:val="18"/>
          <w:szCs w:val="18"/>
          <w:color w:val="auto"/>
        </w:rPr>
        <w:t>Each unit has an offering price of $10.00 and consists of one share of Class A common stock and one-third of one redeemable warrant. Each whole warrant entitles the holder thereof to purchase one share of Class A common stock at a price of $11.50 per share, subject to adjustment as described in this prospectus. Pursuant to the warrant agreement, a warrant holder may exercise its warrants only for a whole number of the shares of Company’s Class A common stock. This means only a whole warrant may be exercised at any given time by a warrant holder. For example, if a warrant holder holds one-third of one warrant to purchase a share of Class A common stock, such warrant will not be exercisable. If a warrant holder holds three-thirds of one warrant, such whole warrant will be exercisable for one share of Class A common stock at a price of $ 11.50 per share. The Class A common stock and warrants comprising the units are expected to begin separate trading on the 52</w:t>
      </w:r>
      <w:r>
        <w:rPr>
          <w:rFonts w:ascii="Arial" w:cs="Arial" w:eastAsia="Arial" w:hAnsi="Arial"/>
          <w:sz w:val="20"/>
          <w:szCs w:val="20"/>
          <w:color w:val="auto"/>
          <w:vertAlign w:val="superscript"/>
        </w:rPr>
        <w:t>nd</w:t>
      </w:r>
      <w:r>
        <w:rPr>
          <w:rFonts w:ascii="Arial" w:cs="Arial" w:eastAsia="Arial" w:hAnsi="Arial"/>
          <w:sz w:val="18"/>
          <w:szCs w:val="18"/>
          <w:color w:val="auto"/>
        </w:rPr>
        <w:t xml:space="preserve"> day following the date of this prospectus unless Jefferies LLC informs us of its decision to allow earlier separate trading, subject to our having filed the Current Report on Form 8-K described below and having issued a press release announcing when such separate trading will begin. Once the shares of Class A common stock and warrants commence separate trading, holders will have the option to continue to hold units or separate their units into the component securities. Holders will need to have their brokers contact our transfer agent in order to separate the units into Class A common stock and warrants. No fractional warrants will be issued upon separation of the units and only whole warrants will trade. Accordingly, unless you purchase at least three units, you will not be able to receive or trade a whole warrant.</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In no event will the Class A common stock and warrants be traded separately until we have filed with the SEC a Current Report on Form 8-K which includes an audited balance sheet reflecting our receipt of the gross proceeds at closing of this offering. We will file a Current Report on Form 8-K which includes this audited balance sheet promptly after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Prior to the date of this prospectus, there were 2,875,000 shares of Class B common stock outstanding, all of which were held of record by our initial stockholders, so that our initial stockholders will own 20% of our issued and outstanding shares after this offering (assuming our initial stockholders do not purchase any units in this offering). Up to 375,000 of the founder shares will be forfeited by our initial stockholders depending on the extent to which the underwriters’ over-allotment is exercised. Upon the closing of this offering, 12,500,000 of our shares of common stock will be outstanding (assuming no exercise of the underwriters’ over-allotment option and the corresponding forfeiture of 375,000 founder shares by our initial stockholders) including:</w:t>
      </w:r>
    </w:p>
    <w:p>
      <w:pPr>
        <w:spacing w:after="0" w:line="19" w:lineRule="exact"/>
        <w:rPr>
          <w:sz w:val="20"/>
          <w:szCs w:val="20"/>
          <w:color w:val="auto"/>
        </w:rPr>
      </w:pPr>
    </w:p>
    <w:p>
      <w:pPr>
        <w:ind w:left="1100" w:right="719" w:hanging="322"/>
        <w:spacing w:after="0" w:line="246" w:lineRule="auto"/>
        <w:tabs>
          <w:tab w:leader="none" w:pos="1039"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10,000,000 shares of Class A common stock underlying units issued as part of this offering; and</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2,500,000 shares of Class B common stock held by our initial stockholders.</w:t>
      </w:r>
    </w:p>
    <w:p>
      <w:pPr>
        <w:spacing w:after="0" w:line="144" w:lineRule="exact"/>
        <w:rPr>
          <w:sz w:val="20"/>
          <w:szCs w:val="20"/>
          <w:color w:val="auto"/>
        </w:rPr>
      </w:pPr>
    </w:p>
    <w:p>
      <w:pPr>
        <w:ind w:left="460" w:right="739"/>
        <w:spacing w:after="0" w:line="238" w:lineRule="auto"/>
        <w:rPr>
          <w:sz w:val="20"/>
          <w:szCs w:val="20"/>
          <w:color w:val="auto"/>
        </w:rPr>
      </w:pPr>
      <w:r>
        <w:rPr>
          <w:rFonts w:ascii="Arial" w:cs="Arial" w:eastAsia="Arial" w:hAnsi="Arial"/>
          <w:sz w:val="18"/>
          <w:szCs w:val="18"/>
          <w:color w:val="auto"/>
        </w:rPr>
        <w:t>If we increase or decrease the size of this offering, we will effect a stock dividend or share contribution back to capital or other appropriate mechanism, as applicable, with respect to our Class B common stock immediately prior to the consummation of the offering in such amount as to maintain the ownership of our initial stockholders at 20.0% of our issued and outstanding common stock upon the consummation of this offering.</w:t>
      </w:r>
    </w:p>
    <w:p>
      <w:pPr>
        <w:spacing w:after="0" w:line="121"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 Unless specified in our amended and</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13" w:name="page114"/>
    <w:bookmarkEnd w:id="113"/>
    <w:p>
      <w:pPr>
        <w:ind w:left="460" w:right="499"/>
        <w:spacing w:after="0" w:line="236" w:lineRule="auto"/>
        <w:rPr>
          <w:sz w:val="20"/>
          <w:szCs w:val="20"/>
          <w:color w:val="auto"/>
        </w:rPr>
      </w:pPr>
      <w:r>
        <w:rPr>
          <w:rFonts w:ascii="Arial" w:cs="Arial" w:eastAsia="Arial" w:hAnsi="Arial"/>
          <w:sz w:val="18"/>
          <w:szCs w:val="18"/>
          <w:color w:val="auto"/>
        </w:rPr>
        <w:t>restated certificate of incorporation, or as required by applicable provisions of the DGCL or applicable stock exchange rules, the affirmative vote of a majority of our shares of common stock that are voted is required to approve any such matter voted on by our stockholders.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127"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Because our amended and restated certificate of incorporation authorizes the issuance of up to 380,000,000 shares of Class A common stock, if we were to enter into a business combination, we may (depending on the terms of such a business combination) be required to increase the number of shares of Class A common stock which we are authorized to issue at the same time as our stockholders vote on the business combination to the extent we seek stockholder approval in connection with our initial business combination.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40"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38"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will provide our public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underwriters. Our initial stockholders, sponsor, officers and directors have entered into a letter agreement with us, pursuant to which they have agreed to waive their redemption rights with respect to any founder shares and public shares they hold in connection with the completion of our initial business combination. Unlike many special purpose acquisition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requires these tender offer documents to contain substantially the same financial and other information about our initial business combination and the redemption rights as is required under the SEC’s proxy rules. If, however, a stockholder approval of the transaction is required by law, or we decide to obtain stockholder approval for business or other legal reasons, we will, like many special purpose acquisition companies, offer to redeem shares in conjunction with a proxy solicitation pursuant to the proxy rules and not pursuant to the tender offer rules. If we seek stockholder approval, we will complete our initial business combination only if a majority of the shares of common stock voted are voted in favor of our initial business combination. However, the participation of our sponsor, officers, directors, advisors or their respective affiliates in privately-negotiated transactions (as described in this prospectus), if any, could result in the approval of our initial business combination even if a majority of our public stockholders vote, or indicate their intention to vote, against such initial business combination. For purposes of seeking approval of the majority of our outstanding shares of common stock, non-votes will have no effect on the approval of our initial business combination once a quorum is obtained.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4" w:name="page115"/>
    <w:bookmarkEnd w:id="114"/>
    <w:p>
      <w:pPr>
        <w:ind w:left="460" w:right="479"/>
        <w:spacing w:after="0" w:line="23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amended and restated certificate of incorporation provides that a public stockholder, together with any affiliate of such stockholder or any other person with whom such stockholder is acting in concert or as a “group” (as defined under Section 13 of the Exchange Act), will be restricted from redeeming its shares with respect to Excess Shares, without our prior consent.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our initial business combination. And, as a result, such stockholders will continue to hold that number of shares exceeding 20% and, in order to dispose such shares would be required to sell their shares in open market transactions, potentially at a loss.</w:t>
      </w:r>
    </w:p>
    <w:p>
      <w:pPr>
        <w:spacing w:after="0" w:line="133" w:lineRule="exact"/>
        <w:rPr>
          <w:sz w:val="20"/>
          <w:szCs w:val="20"/>
          <w:color w:val="auto"/>
        </w:rPr>
      </w:pPr>
    </w:p>
    <w:p>
      <w:pPr>
        <w:ind w:left="460" w:right="679"/>
        <w:spacing w:after="0" w:line="248" w:lineRule="auto"/>
        <w:rPr>
          <w:sz w:val="20"/>
          <w:szCs w:val="20"/>
          <w:color w:val="auto"/>
        </w:rPr>
      </w:pPr>
      <w:r>
        <w:rPr>
          <w:rFonts w:ascii="Arial" w:cs="Arial" w:eastAsia="Arial" w:hAnsi="Arial"/>
          <w:sz w:val="17"/>
          <w:szCs w:val="17"/>
          <w:color w:val="auto"/>
        </w:rPr>
        <w:t>If we seek stockholder approval in connection with our initial business combination, our initial stockholders, sponsor, officers and directors have agreed to vote any founder shares they hold and any public shares purchased during or after this offering in favor of our initial business combination. As a result, in addition to our initial stockholders’ founder shares, we would need 3,750,001, or</w:t>
      </w:r>
    </w:p>
    <w:p>
      <w:pPr>
        <w:spacing w:after="0" w:line="2"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37.5%, of the 10,000,000 public shares sold in this offering to be voted in favor of an initial business combination in order to have our initial business combination approved (assuming all outstanding shares are voted and the over-allotment option is not exercised). Additionally, each public stockholder may elect to redeem their public shares irrespective of whether they vote for or against the proposed transaction.</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the requirements of other applicable law. Our initial stockholders have entered into agreements with us, pursuant to which they have agreed to waive their rights to liquidating distributions from the trust account with respect to their founder shares if we fail to complete our initial business combination within 24 months from the closing of this offering or during any Extension Period. However, if our initial stockholders or management team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4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event of a liquidation, dissolution or winding up of the company after a business combination, our stockholders are entitled to share ratably in all assets remaining available for distribution to them after payment of liabilities and after provision is made for each class of shares, if any, having preference over the common stock. Our stockholders have no preemptive or other subscription rights. There are no sinking fund provisions applicable to the common stock, except that we will provide our public stockholders with the opportunity to redeem their public shares for cash at a per share price equal to the aggregate amount then on deposit in the trust account, including interest earned on the funds held in the trust account and not previously released to us to pay our taxes, divided by the number of then outstanding public shares, upon the completion of our initial business combination, subject to the limitations described herein.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39"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founder shares are designated as Class B common stock and, except as described below, are identical to the shares of Class A common stock included in the units being sold in this offering, and holders of founder shares have the same stockholder rights as public stockholders, except that (i) the founder shares are subject to certain transfer restrictions, as described in more detail below, (ii) our initial stockholders, sponsor, officers and directors have entered into a letter agreement with us, pursuant to which they have agreed (A) to waive their redemption rights with respect to any founder shares and public shares they hold in connection with the completion of our initial</w:t>
      </w:r>
    </w:p>
    <w:p>
      <w:pPr>
        <w:sectPr>
          <w:pgSz w:w="11900" w:h="16838" w:orient="portrait"/>
          <w:cols w:equalWidth="0" w:num="1">
            <w:col w:w="9019"/>
          </w:cols>
          <w:pgMar w:left="1440" w:top="287" w:right="1440"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15" w:name="page116"/>
    <w:bookmarkEnd w:id="115"/>
    <w:p>
      <w:pPr>
        <w:ind w:left="460" w:right="479"/>
        <w:spacing w:after="0" w:line="235" w:lineRule="auto"/>
        <w:rPr>
          <w:sz w:val="20"/>
          <w:szCs w:val="20"/>
          <w:color w:val="auto"/>
        </w:rPr>
      </w:pPr>
      <w:r>
        <w:rPr>
          <w:rFonts w:ascii="Arial" w:cs="Arial" w:eastAsia="Arial" w:hAnsi="Arial"/>
          <w:sz w:val="18"/>
          <w:szCs w:val="18"/>
          <w:color w:val="auto"/>
        </w:rPr>
        <w:t>business combination, (B) to waive their redemption rights with respect to any founder shares and public shares they hold in connection with a stockholder vote to approve an amendment to our amended and restated certificate of incorporation to modify the substance or timing of our obligation to redeem 100% of our public shares if we have not consummated an initial business combination within 24 months from the closing of this offering or with respect to any other material provisions relating to stockholders’ rights or pre-initial business combination activity and (C) to waive their rights to liquidating distributions from the trust account with respect to any founder shares they hold if we fail to complete our initial business combination within 24 months from the closing of this offering or during any Extension Period, although they will be entitled to liquidating distributions from the trust account with respect to any public shares they hold if we fail to complete our initial business combination within such time period, and (iii) the founder shares are automatically convertible into Class A common stock concurrently with or immediately following the consummation of our initial business combination on a one-for-one basis, subject to adjustment as described herein and in our amended and restated certificate of incorporation. If we submit our initial business combination to our public stockholders for a vote, our initial stockholders have agreed to vote their founder shares and any public shares purchased during or after this offering in favor of our initial business combination.</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founder shares will automatically convert into shares of Class A common stock concurrently with</w:t>
      </w:r>
    </w:p>
    <w:p>
      <w:pPr>
        <w:ind w:left="460"/>
        <w:spacing w:after="0"/>
        <w:rPr>
          <w:sz w:val="20"/>
          <w:szCs w:val="20"/>
          <w:color w:val="auto"/>
        </w:rPr>
      </w:pPr>
      <w:r>
        <w:rPr>
          <w:rFonts w:ascii="Arial" w:cs="Arial" w:eastAsia="Arial" w:hAnsi="Arial"/>
          <w:sz w:val="17"/>
          <w:szCs w:val="17"/>
          <w:color w:val="auto"/>
        </w:rPr>
        <w:t>or immediately following the consummation of our initial business combination on a one-for-one basis,</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adjustment for stock splits, stock dividends, reorganizations, recapitalizations and the like,</w:t>
      </w:r>
    </w:p>
    <w:p>
      <w:pPr>
        <w:ind w:left="460"/>
        <w:spacing w:after="0" w:line="234" w:lineRule="auto"/>
        <w:rPr>
          <w:sz w:val="20"/>
          <w:szCs w:val="20"/>
          <w:color w:val="auto"/>
        </w:rPr>
      </w:pPr>
      <w:r>
        <w:rPr>
          <w:rFonts w:ascii="Arial" w:cs="Arial" w:eastAsia="Arial" w:hAnsi="Arial"/>
          <w:sz w:val="18"/>
          <w:szCs w:val="18"/>
          <w:color w:val="auto"/>
        </w:rPr>
        <w:t>and subject to further adjustment as provided herein. In the case that additional shares of Class A</w:t>
      </w:r>
    </w:p>
    <w:p>
      <w:pPr>
        <w:ind w:left="460"/>
        <w:spacing w:after="0" w:line="235" w:lineRule="auto"/>
        <w:rPr>
          <w:sz w:val="20"/>
          <w:szCs w:val="20"/>
          <w:color w:val="auto"/>
        </w:rPr>
      </w:pPr>
      <w:r>
        <w:rPr>
          <w:rFonts w:ascii="Arial" w:cs="Arial" w:eastAsia="Arial" w:hAnsi="Arial"/>
          <w:sz w:val="18"/>
          <w:szCs w:val="18"/>
          <w:color w:val="auto"/>
        </w:rPr>
        <w:t>common stock or equity-linked securities are issued or deemed issued in connection with our initial</w:t>
      </w:r>
    </w:p>
    <w:p>
      <w:pPr>
        <w:ind w:left="460"/>
        <w:spacing w:after="0" w:line="235" w:lineRule="auto"/>
        <w:rPr>
          <w:sz w:val="20"/>
          <w:szCs w:val="20"/>
          <w:color w:val="auto"/>
        </w:rPr>
      </w:pPr>
      <w:r>
        <w:rPr>
          <w:rFonts w:ascii="Arial" w:cs="Arial" w:eastAsia="Arial" w:hAnsi="Arial"/>
          <w:sz w:val="18"/>
          <w:szCs w:val="18"/>
          <w:color w:val="auto"/>
        </w:rPr>
        <w:t>business combination, the number of shares of Class A common stock issuable upon conversion of</w:t>
      </w:r>
    </w:p>
    <w:p>
      <w:pPr>
        <w:ind w:left="460"/>
        <w:spacing w:after="0" w:line="235" w:lineRule="auto"/>
        <w:rPr>
          <w:sz w:val="20"/>
          <w:szCs w:val="20"/>
          <w:color w:val="auto"/>
        </w:rPr>
      </w:pPr>
      <w:r>
        <w:rPr>
          <w:rFonts w:ascii="Arial" w:cs="Arial" w:eastAsia="Arial" w:hAnsi="Arial"/>
          <w:sz w:val="18"/>
          <w:szCs w:val="18"/>
          <w:color w:val="auto"/>
        </w:rPr>
        <w:t>all founder shares will equal, in the aggregate, on an as-converted basis, 20% of the total number of</w:t>
      </w:r>
    </w:p>
    <w:p>
      <w:pPr>
        <w:ind w:left="460"/>
        <w:spacing w:after="0" w:line="235" w:lineRule="auto"/>
        <w:rPr>
          <w:sz w:val="20"/>
          <w:szCs w:val="20"/>
          <w:color w:val="auto"/>
        </w:rPr>
      </w:pPr>
      <w:r>
        <w:rPr>
          <w:rFonts w:ascii="Arial" w:cs="Arial" w:eastAsia="Arial" w:hAnsi="Arial"/>
          <w:sz w:val="18"/>
          <w:szCs w:val="18"/>
          <w:color w:val="auto"/>
        </w:rPr>
        <w:t>shares of Class A common stock outstanding after such conversion (after giving effect to any</w:t>
      </w:r>
    </w:p>
    <w:p>
      <w:pPr>
        <w:ind w:left="460"/>
        <w:spacing w:after="0"/>
        <w:rPr>
          <w:sz w:val="20"/>
          <w:szCs w:val="20"/>
          <w:color w:val="auto"/>
        </w:rPr>
      </w:pPr>
      <w:r>
        <w:rPr>
          <w:rFonts w:ascii="Arial" w:cs="Arial" w:eastAsia="Arial" w:hAnsi="Arial"/>
          <w:sz w:val="17"/>
          <w:szCs w:val="17"/>
          <w:color w:val="auto"/>
        </w:rPr>
        <w:t>redemptions of shares of Class A common stock by public stockholders), including the total number of</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shares of Class A common stock issued, or deemed issued or issuable upon conversion or exercise</w:t>
      </w:r>
    </w:p>
    <w:p>
      <w:pPr>
        <w:ind w:left="460"/>
        <w:spacing w:after="0" w:line="234" w:lineRule="auto"/>
        <w:rPr>
          <w:sz w:val="20"/>
          <w:szCs w:val="20"/>
          <w:color w:val="auto"/>
        </w:rPr>
      </w:pPr>
      <w:r>
        <w:rPr>
          <w:rFonts w:ascii="Arial" w:cs="Arial" w:eastAsia="Arial" w:hAnsi="Arial"/>
          <w:sz w:val="18"/>
          <w:szCs w:val="18"/>
          <w:color w:val="auto"/>
        </w:rPr>
        <w:t>of any equity-linked securities or rights issued or deemed issued, by the Company in connection with</w:t>
      </w:r>
    </w:p>
    <w:p>
      <w:pPr>
        <w:ind w:left="460"/>
        <w:spacing w:after="0" w:line="235" w:lineRule="auto"/>
        <w:rPr>
          <w:sz w:val="20"/>
          <w:szCs w:val="20"/>
          <w:color w:val="auto"/>
        </w:rPr>
      </w:pPr>
      <w:r>
        <w:rPr>
          <w:rFonts w:ascii="Arial" w:cs="Arial" w:eastAsia="Arial" w:hAnsi="Arial"/>
          <w:sz w:val="18"/>
          <w:szCs w:val="18"/>
          <w:color w:val="auto"/>
        </w:rPr>
        <w:t>or in relation to the consummation of the initial business combination, excluding any shares of</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Class A common stock or equity-linked securities or rights exercisable for or convertible into shares of</w:t>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Class A common stock issued, or to be issued, to any seller in the initial business combination and</w:t>
      </w:r>
    </w:p>
    <w:p>
      <w:pPr>
        <w:ind w:left="460"/>
        <w:spacing w:after="0" w:line="234" w:lineRule="auto"/>
        <w:rPr>
          <w:sz w:val="20"/>
          <w:szCs w:val="20"/>
          <w:color w:val="auto"/>
        </w:rPr>
      </w:pPr>
      <w:r>
        <w:rPr>
          <w:rFonts w:ascii="Arial" w:cs="Arial" w:eastAsia="Arial" w:hAnsi="Arial"/>
          <w:sz w:val="18"/>
          <w:szCs w:val="18"/>
          <w:color w:val="auto"/>
        </w:rPr>
        <w:t>any private placement warrants issued to our sponsor, officers or directors upon conversion of</w:t>
      </w:r>
    </w:p>
    <w:p>
      <w:pPr>
        <w:ind w:left="460"/>
        <w:spacing w:after="0" w:line="235" w:lineRule="auto"/>
        <w:rPr>
          <w:sz w:val="20"/>
          <w:szCs w:val="20"/>
          <w:color w:val="auto"/>
        </w:rPr>
      </w:pPr>
      <w:r>
        <w:rPr>
          <w:rFonts w:ascii="Arial" w:cs="Arial" w:eastAsia="Arial" w:hAnsi="Arial"/>
          <w:sz w:val="18"/>
          <w:szCs w:val="18"/>
          <w:color w:val="auto"/>
        </w:rPr>
        <w:t>working capital loans, provided that such conversion of founder shares will never occur on a less than</w:t>
      </w:r>
    </w:p>
    <w:p>
      <w:pPr>
        <w:ind w:left="460"/>
        <w:spacing w:after="0" w:line="235" w:lineRule="auto"/>
        <w:rPr>
          <w:sz w:val="20"/>
          <w:szCs w:val="20"/>
          <w:color w:val="auto"/>
        </w:rPr>
      </w:pPr>
      <w:r>
        <w:rPr>
          <w:rFonts w:ascii="Arial" w:cs="Arial" w:eastAsia="Arial" w:hAnsi="Arial"/>
          <w:sz w:val="18"/>
          <w:szCs w:val="18"/>
          <w:color w:val="auto"/>
        </w:rPr>
        <w:t>one-for-one basis. The term “equity-linked securities” refers to any debt or equity securities that are</w:t>
      </w:r>
    </w:p>
    <w:p>
      <w:pPr>
        <w:ind w:left="460"/>
        <w:spacing w:after="0" w:line="235" w:lineRule="auto"/>
        <w:rPr>
          <w:sz w:val="20"/>
          <w:szCs w:val="20"/>
          <w:color w:val="auto"/>
        </w:rPr>
      </w:pPr>
      <w:r>
        <w:rPr>
          <w:rFonts w:ascii="Arial" w:cs="Arial" w:eastAsia="Arial" w:hAnsi="Arial"/>
          <w:sz w:val="18"/>
          <w:szCs w:val="18"/>
          <w:color w:val="auto"/>
        </w:rPr>
        <w:t>convertible, exercisable or exchangeable for our shares of Class A common stock issued in a</w:t>
      </w:r>
    </w:p>
    <w:p>
      <w:pPr>
        <w:ind w:left="460"/>
        <w:spacing w:after="0" w:line="235" w:lineRule="auto"/>
        <w:rPr>
          <w:sz w:val="20"/>
          <w:szCs w:val="20"/>
          <w:color w:val="auto"/>
        </w:rPr>
      </w:pPr>
      <w:r>
        <w:rPr>
          <w:rFonts w:ascii="Arial" w:cs="Arial" w:eastAsia="Arial" w:hAnsi="Arial"/>
          <w:sz w:val="18"/>
          <w:szCs w:val="18"/>
          <w:color w:val="auto"/>
        </w:rPr>
        <w:t>financing transaction in connection with our initial business combination, including, but not limited to,</w:t>
      </w:r>
    </w:p>
    <w:p>
      <w:pPr>
        <w:ind w:left="460"/>
        <w:spacing w:after="0"/>
        <w:rPr>
          <w:sz w:val="20"/>
          <w:szCs w:val="20"/>
          <w:color w:val="auto"/>
        </w:rPr>
      </w:pPr>
      <w:r>
        <w:rPr>
          <w:rFonts w:ascii="Arial" w:cs="Arial" w:eastAsia="Arial" w:hAnsi="Arial"/>
          <w:sz w:val="18"/>
          <w:szCs w:val="18"/>
          <w:color w:val="auto"/>
        </w:rPr>
        <w:t>a private placement of equity or debt.</w:t>
      </w:r>
    </w:p>
    <w:p>
      <w:pPr>
        <w:spacing w:after="0" w:line="11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earlier if, subsequent to our initial business combination, the closing price of the Class A common stock equals or exceeds $12.00 per share (as adjusted for stock splits, stock capitalizations, reorganizations, recapitalizations and the like) for any 20 trading days within any 30-trading day period commencing at least 150 days after our initial business combination, and (B) the date following the completion of our initial business combination on which we complete a liquidation, merger, capital stock exchange or other similar transaction that results in all of our stockholders having the right to exchange their Class A common stock for cash, securities or other property. Up to 375,000 founder shares will be forfeited by our initial stockholders depending on the exercise of the over-allotment option.</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Preferred Stock</w:t>
      </w:r>
    </w:p>
    <w:p>
      <w:pPr>
        <w:spacing w:after="0" w:line="139"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amended and restated certificate of incorporation authorizes 1,000,000 shares of preferred stock and provides that shares of preferred stock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stockholder approval, issue shares of preferred stock with voting and other rights that could adversely affect the voting power and other rights of the holders of the common stock and could have anti-takeover effects. The ability of our board of directors to issue shares of preferred stock without stockholder approval could have the effect of delaying, deferring or preventing a change of control of us or the removal of existing management. We have no preferred shares outstanding at the date hereof. Although we do not currently intend to issue any shares of preferred stock, we cannot assure you that we will not do so in the future. No shares of preferred stock are being issued or registered in this offering.</w:t>
      </w:r>
    </w:p>
    <w:p>
      <w:pPr>
        <w:sectPr>
          <w:pgSz w:w="11900" w:h="16838" w:orient="portrait"/>
          <w:cols w:equalWidth="0" w:num="1">
            <w:col w:w="9019"/>
          </w:cols>
          <w:pgMar w:left="1440" w:top="260" w:right="1440"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0" w:right="1440" w:bottom="1440" w:gutter="0" w:footer="0" w:header="0"/>
          <w:type w:val="continuous"/>
        </w:sectPr>
      </w:pPr>
    </w:p>
    <w:bookmarkStart w:id="116" w:name="page117"/>
    <w:bookmarkEnd w:id="116"/>
    <w:p>
      <w:pPr>
        <w:ind w:left="460"/>
        <w:spacing w:after="0"/>
        <w:rPr>
          <w:sz w:val="20"/>
          <w:szCs w:val="20"/>
          <w:color w:val="auto"/>
        </w:rPr>
      </w:pPr>
      <w:r>
        <w:rPr>
          <w:rFonts w:ascii="Arial" w:cs="Arial" w:eastAsia="Arial" w:hAnsi="Arial"/>
          <w:sz w:val="18"/>
          <w:szCs w:val="18"/>
          <w:b w:val="1"/>
          <w:bCs w:val="1"/>
          <w:color w:val="auto"/>
        </w:rPr>
        <w:t>Warrants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Stockholders’ Warrants</w:t>
      </w:r>
    </w:p>
    <w:p>
      <w:pPr>
        <w:spacing w:after="0" w:line="166" w:lineRule="exact"/>
        <w:rPr>
          <w:sz w:val="20"/>
          <w:szCs w:val="20"/>
          <w:color w:val="auto"/>
        </w:rPr>
      </w:pPr>
    </w:p>
    <w:p>
      <w:pPr>
        <w:ind w:left="460" w:right="539"/>
        <w:spacing w:after="0" w:line="235" w:lineRule="auto"/>
        <w:rPr>
          <w:sz w:val="20"/>
          <w:szCs w:val="20"/>
          <w:color w:val="auto"/>
        </w:rPr>
      </w:pPr>
      <w:r>
        <w:rPr>
          <w:rFonts w:ascii="Arial" w:cs="Arial" w:eastAsia="Arial" w:hAnsi="Arial"/>
          <w:sz w:val="18"/>
          <w:szCs w:val="18"/>
          <w:color w:val="auto"/>
        </w:rPr>
        <w:t>Each whole warrant entitles the registered holder to purchase one share of Class A common stock at a price of $ 11.50 per share, subject to adjustment as discussed below, at any time commencing on the later of 12 months from the closing of this offering and 30 days after the completion of our initial business combination, provided in each case that we have an effective registration statement under the Securities Act covering the shares of Class A common stock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shares of Class A common stock. This means only a whole warrant may be exercised at a given time by a warrant holder. No fractional warrants will be issued upon separation of the units and only whole warrants will trade. Accordingly, unless you purchase at least three units, you will not be able to receive or trade a whole warrant. The warrants will expire five years after the completion of our initial business combination, at 5:00 p.m., New York City time, or earlier upon redemption or liquidation.</w:t>
      </w:r>
    </w:p>
    <w:p>
      <w:pPr>
        <w:spacing w:after="0" w:line="132"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We will not be obligated to deliver any Class A common stock pursuant to the exercise of a warrant and will have no obligation to settle such warrant exercise unless a registration statement under the Securities Act with respect to the Class A common stock underlying the warrants is then effective and a prospectus relating thereto is current, subject to our satisfying our obligations described below with respect to registration. No warrant will be exercisable and we will not be obligated to issue a share of Class A common stock upon exercise of a warrant unless the share of Class A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Class A common stock underlying such unit.</w:t>
      </w:r>
    </w:p>
    <w:p>
      <w:pPr>
        <w:spacing w:after="0" w:line="146" w:lineRule="exact"/>
        <w:rPr>
          <w:sz w:val="20"/>
          <w:szCs w:val="20"/>
          <w:color w:val="auto"/>
        </w:rPr>
      </w:pPr>
    </w:p>
    <w:p>
      <w:pPr>
        <w:ind w:left="460" w:right="459"/>
        <w:spacing w:after="0" w:line="233" w:lineRule="auto"/>
        <w:rPr>
          <w:sz w:val="20"/>
          <w:szCs w:val="20"/>
          <w:color w:val="auto"/>
        </w:rPr>
      </w:pPr>
      <w:r>
        <w:rPr>
          <w:rFonts w:ascii="Arial" w:cs="Arial" w:eastAsia="Arial" w:hAnsi="Arial"/>
          <w:sz w:val="18"/>
          <w:szCs w:val="18"/>
          <w:color w:val="auto"/>
        </w:rPr>
        <w:t>We have agreed that as soon as practicable, but in no event later than fifteen (15) business days after the closing of our initial business combination, we will use our best efforts to file with the SEC a registration statement for the registration, under the Securities Act, of the Class A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shares of Class A common stock issuable upon exercise of the warrants is not effective by the sixtieth (60</w:t>
      </w:r>
      <w:r>
        <w:rPr>
          <w:rFonts w:ascii="Arial" w:cs="Arial" w:eastAsia="Arial" w:hAnsi="Arial"/>
          <w:sz w:val="20"/>
          <w:szCs w:val="20"/>
          <w:color w:val="auto"/>
          <w:vertAlign w:val="superscript"/>
        </w:rPr>
        <w:t>th</w:t>
      </w:r>
      <w:r>
        <w:rPr>
          <w:rFonts w:ascii="Arial" w:cs="Arial" w:eastAsia="Arial" w:hAnsi="Arial"/>
          <w:sz w:val="18"/>
          <w:szCs w:val="18"/>
          <w:color w:val="auto"/>
        </w:rPr>
        <w:t>)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Class A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 In such event, each holder would pay the exercise price by surrendering the warrants for that number of shares of Class A common stock equal to the lesser of</w:t>
      </w:r>
    </w:p>
    <w:p>
      <w:pPr>
        <w:spacing w:after="0" w:line="9" w:lineRule="exact"/>
        <w:rPr>
          <w:sz w:val="20"/>
          <w:szCs w:val="20"/>
          <w:color w:val="auto"/>
        </w:rPr>
      </w:pPr>
    </w:p>
    <w:p>
      <w:pPr>
        <w:ind w:left="460" w:right="559" w:hanging="6"/>
        <w:spacing w:after="0" w:line="237" w:lineRule="auto"/>
        <w:tabs>
          <w:tab w:leader="none" w:pos="75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quotient obtained by dividing (x) the product of the number of shares of Class A common stock underlying the warrants, multiplied by the excess of the “fair market value” (defined below) less the exercise price of the warrants by (y) the fair market value and (B) 0.361. The “fair market value” as used in this paragraph shall mean the volume weighted average price of the Class A common stock for the 10 trading days ending on the trading day prior to the date on which the notice of exercise is received by the warrant agent.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17" w:name="page118"/>
    <w:bookmarkEnd w:id="117"/>
    <w:p>
      <w:pPr>
        <w:ind w:left="460" w:right="479"/>
        <w:spacing w:after="0" w:line="271" w:lineRule="auto"/>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$18.00.</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23" w:lineRule="exact"/>
        <w:rPr>
          <w:sz w:val="20"/>
          <w:szCs w:val="20"/>
          <w:color w:val="auto"/>
        </w:rPr>
      </w:pPr>
    </w:p>
    <w:p>
      <w:pPr>
        <w:ind w:left="1040" w:hanging="262"/>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22" w:lineRule="exact"/>
        <w:rPr>
          <w:rFonts w:ascii="Arial" w:cs="Arial" w:eastAsia="Arial" w:hAnsi="Arial"/>
          <w:sz w:val="18"/>
          <w:szCs w:val="18"/>
          <w:color w:val="auto"/>
        </w:rPr>
      </w:pPr>
    </w:p>
    <w:p>
      <w:pPr>
        <w:ind w:left="1100" w:right="639" w:hanging="322"/>
        <w:spacing w:after="0" w:line="237" w:lineRule="auto"/>
        <w:tabs>
          <w:tab w:leader="none" w:pos="1039"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and only if, the closing price of the Class A common stock equals or exceeds $18.00 per share (as adjusted for adjustments to the number of shares issuable upon exercise or the exercise price of a warrant as described under the heading “— Warrants — Public Stockholders’ Warrants — Anti-Dilution Adjustments”) for any 20 trading days within a 30-trading day period ending three trading days before we send the notice of redemption to the warrant holders.</w:t>
      </w:r>
    </w:p>
    <w:p>
      <w:pPr>
        <w:spacing w:after="0" w:line="137"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We will not redeem the warrants as described above unless a registration statement under the Securities Act covering the issuance of the Class A common stock issuable upon exercise of the warrants is then effective and a current prospectus relating to those shares of Class A common stock is available throughout the 30-day redemption period. If and when the warrants become redeemable by us, we may exercise our redemption right even if we are unable to register or qualify the underlying securities for sale under all applicable state securities laws. None of the private placement warrants will be redeemable by us so long as they are held by our sponsor or its permitted transferees.</w:t>
      </w:r>
    </w:p>
    <w:p>
      <w:pPr>
        <w:spacing w:after="0" w:line="140"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common stock may fall below the $18.00 redemption trigger price (as adjusted for adjustments to the number of shares issuable upon exercise or the exercise price of a warrant as described under the heading “— Warrants — Public Stockholders’ Warrants — Anti-dilution Adjustments”) as well as the $11.50 (for whole shares) warrant exercise price after the redemption notice is issued.</w:t>
      </w:r>
    </w:p>
    <w:p>
      <w:pPr>
        <w:spacing w:after="0" w:line="185" w:lineRule="exact"/>
        <w:rPr>
          <w:sz w:val="20"/>
          <w:szCs w:val="20"/>
          <w:color w:val="auto"/>
        </w:rPr>
      </w:pPr>
    </w:p>
    <w:p>
      <w:pPr>
        <w:ind w:left="460" w:right="479"/>
        <w:spacing w:after="0" w:line="271" w:lineRule="auto"/>
        <w:rPr>
          <w:sz w:val="20"/>
          <w:szCs w:val="20"/>
          <w:color w:val="auto"/>
        </w:rPr>
      </w:pPr>
      <w:r>
        <w:rPr>
          <w:rFonts w:ascii="Arial" w:cs="Arial" w:eastAsia="Arial" w:hAnsi="Arial"/>
          <w:sz w:val="18"/>
          <w:szCs w:val="18"/>
          <w:b w:val="1"/>
          <w:bCs w:val="1"/>
          <w:i w:val="1"/>
          <w:iCs w:val="1"/>
          <w:color w:val="auto"/>
        </w:rPr>
        <w:t>Redemption of warrants when the price per share of Class A common stock equals or exceeds $10.00.</w:t>
      </w:r>
    </w:p>
    <w:p>
      <w:pPr>
        <w:spacing w:after="0" w:line="9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we may redeem the outstanding warrants:</w:t>
      </w:r>
    </w:p>
    <w:p>
      <w:pPr>
        <w:spacing w:after="0" w:line="36" w:lineRule="exact"/>
        <w:rPr>
          <w:sz w:val="20"/>
          <w:szCs w:val="20"/>
          <w:color w:val="auto"/>
        </w:rPr>
      </w:pPr>
    </w:p>
    <w:p>
      <w:pPr>
        <w:ind w:left="1040" w:hanging="262"/>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 w:lineRule="exact"/>
        <w:rPr>
          <w:rFonts w:ascii="Arial" w:cs="Arial" w:eastAsia="Arial" w:hAnsi="Arial"/>
          <w:sz w:val="18"/>
          <w:szCs w:val="18"/>
          <w:color w:val="auto"/>
        </w:rPr>
      </w:pPr>
    </w:p>
    <w:p>
      <w:pPr>
        <w:ind w:left="1100" w:right="559" w:hanging="322"/>
        <w:spacing w:after="0" w:line="242" w:lineRule="auto"/>
        <w:tabs>
          <w:tab w:leader="none" w:pos="10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determined by reference to the table below, based on the redemption date and the “fair market value” (as defined below) of our Class A common stock except as otherwise described below;</w:t>
      </w:r>
    </w:p>
    <w:p>
      <w:pPr>
        <w:spacing w:after="0" w:line="13" w:lineRule="exact"/>
        <w:rPr>
          <w:rFonts w:ascii="Arial" w:cs="Arial" w:eastAsia="Arial" w:hAnsi="Arial"/>
          <w:sz w:val="18"/>
          <w:szCs w:val="18"/>
          <w:color w:val="auto"/>
        </w:rPr>
      </w:pPr>
    </w:p>
    <w:p>
      <w:pPr>
        <w:ind w:left="1100" w:right="599" w:hanging="322"/>
        <w:spacing w:after="0" w:line="237" w:lineRule="auto"/>
        <w:tabs>
          <w:tab w:leader="none" w:pos="10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and only if, the closing price of our Class A common stock equals or exceeds $10.00 per public share (as adjusted for adjustments to the number of shares issuable upon exercise or the exercise price of a warrant as described under the heading “— Warrants — Public Stockholders’ Warrants — Anti-Dilution Adjustments”) for any 20 trading days within the 30-trading day period ending three trading days before we send the notice of redemption to the warrant holders; and</w:t>
      </w:r>
    </w:p>
    <w:p>
      <w:pPr>
        <w:spacing w:after="0" w:line="29" w:lineRule="exact"/>
        <w:rPr>
          <w:rFonts w:ascii="Arial" w:cs="Arial" w:eastAsia="Arial" w:hAnsi="Arial"/>
          <w:sz w:val="18"/>
          <w:szCs w:val="18"/>
          <w:color w:val="auto"/>
        </w:rPr>
      </w:pPr>
    </w:p>
    <w:p>
      <w:pPr>
        <w:ind w:left="1100" w:right="559" w:hanging="322"/>
        <w:spacing w:after="0" w:line="237" w:lineRule="auto"/>
        <w:tabs>
          <w:tab w:leader="none" w:pos="1039"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the closing price of our Class A common stock for any 20 trading days within a 30-trading day period ending three trading days before we send notice of redemption to the warrant holders is less than $18.00 per share (as adjusted for adjustments to the number of shares issuable upon exercise or the exercise price of a warrant as described under the heading “— Warrants — Public Shareholders’ Warrants — Anti-dilution Adjustments”), the private placement warrants must also be concurrently called for redemption on the same terms as the outstanding public warrants, as described above.</w:t>
      </w:r>
    </w:p>
    <w:p>
      <w:pPr>
        <w:spacing w:after="0" w:line="135"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Beginning on the date the notice of redemption is given until the warrants are redeemed or exercised, holders may elect to exercise their warrants on a cashless basis. The numbers in the table below represent the number of shares of Class A common stock that a warrant holder will receive upon such cashless exercise in connection with a redemption by us pursuant to this redemption feature, based on the “fair market value” of our Class A common stock on the corresponding redemption date (assuming holders elect to exercise their warrants and such warrants are not redeemed for $0.10 per warrant), determined for these purposes based on volume weighted average price of our Class A common stock during the 10 trading days immediately following the date on which the notice of redemption is sent to the holders of warrants, and the number of months that the corresponding redemption date precedes the expiration date of the warrants, each as set forth in the table below. We will provide our warrant holders with the</w:t>
      </w:r>
    </w:p>
    <w:p>
      <w:pPr>
        <w:sectPr>
          <w:pgSz w:w="11900" w:h="16838" w:orient="portrait"/>
          <w:cols w:equalWidth="0" w:num="1">
            <w:col w:w="9019"/>
          </w:cols>
          <w:pgMar w:left="1440" w:top="333" w:right="1440"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18" w:name="page119"/>
    <w:bookmarkEnd w:id="118"/>
    <w:p>
      <w:pPr>
        <w:ind w:left="460" w:right="519"/>
        <w:spacing w:after="0" w:line="237" w:lineRule="auto"/>
        <w:rPr>
          <w:sz w:val="20"/>
          <w:szCs w:val="20"/>
          <w:color w:val="auto"/>
        </w:rPr>
      </w:pPr>
      <w:r>
        <w:rPr>
          <w:rFonts w:ascii="Arial" w:cs="Arial" w:eastAsia="Arial" w:hAnsi="Arial"/>
          <w:sz w:val="18"/>
          <w:szCs w:val="18"/>
          <w:color w:val="auto"/>
        </w:rPr>
        <w:t>final fair market value no later than one business day after the 10-trading day period described above ends. Pursuant to the warrant agreement, references above to Class A common stock shall include a security other than Class A common stock into which the Class A common stock have been converted or exchanged for in the event we are not the surviving company in our initial business combination. The numbers in the table below will not be adjusted when determining the number of shares of Class A common stock to be issued upon exercise of the warrants if we are not the surviving entity following our initial business combination.</w:t>
      </w:r>
    </w:p>
    <w:p>
      <w:pPr>
        <w:spacing w:after="0" w:line="12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share prices set forth in the column headings of the table below will be adjusted as of any date on which the number of shares issuable upon exercise of a warrant or the exercise price of a warrant is adjusted as set forth under the heading “— Anti-dilution Adjustments”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immediately prior to such adjustment and the denominator of which is the number of shares deliverable upon exercise of a warrant as so adjusted. The number of shares in the table below shall be adjusted in the same manner and at the same time as the number of shares issuable upon exercise of a warrant. If the exercise price of a warrant is adjusted, (a) in the case of an adjustment pursuant to the fifth paragraph under the heading “— Anti-dilution Adjustments” below, the adjusted share prices in the column headings will equal the unadjusted share price multiplied by a fraction, the numerator of which is the higher of the Market Value and the Newly Issued Price as set forth under the heading “— Anti-dilution Adjustments” and the denominator of which is $10.00 and (b) in the case of an adjustment pursuant to the second paragraph under the heading “— Anti-dilution Adjustments” below, the adjusted share prices in the column headings will equal the unadjusted share price less the decrease in the exercise price of a warrant pursuant to such exercise price adjustment.</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gridSpan w:val="10"/>
          </w:tcPr>
          <w:p>
            <w:pPr>
              <w:ind w:left="180"/>
              <w:spacing w:after="0"/>
              <w:rPr>
                <w:sz w:val="20"/>
                <w:szCs w:val="20"/>
                <w:color w:val="auto"/>
              </w:rPr>
            </w:pPr>
            <w:r>
              <w:rPr>
                <w:rFonts w:ascii="Arial" w:cs="Arial" w:eastAsia="Arial" w:hAnsi="Arial"/>
                <w:sz w:val="14"/>
                <w:szCs w:val="14"/>
                <w:b w:val="1"/>
                <w:bCs w:val="1"/>
                <w:color w:val="auto"/>
              </w:rPr>
              <w:t>Fair Market Value of Class A Common Stock</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Redemption Date (period to</w:t>
            </w: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2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20" w:type="dxa"/>
            <w:vAlign w:val="bottom"/>
            <w:gridSpan w:val="2"/>
          </w:tcPr>
          <w:p>
            <w:pPr>
              <w:spacing w:after="0"/>
              <w:rPr>
                <w:sz w:val="20"/>
                <w:szCs w:val="20"/>
                <w:color w:val="auto"/>
              </w:rPr>
            </w:pPr>
            <w:r>
              <w:rPr>
                <w:rFonts w:ascii="Arial" w:cs="Arial" w:eastAsia="Arial" w:hAnsi="Arial"/>
                <w:sz w:val="14"/>
                <w:szCs w:val="14"/>
                <w:b w:val="1"/>
                <w:bCs w:val="1"/>
                <w:color w:val="auto"/>
              </w:rPr>
              <w:t>expiration of warrants)</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≤10.00</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11.00</w:t>
            </w:r>
          </w:p>
        </w:tc>
        <w:tc>
          <w:tcPr>
            <w:tcW w:w="10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12.00</w:t>
            </w:r>
          </w:p>
        </w:tc>
        <w:tc>
          <w:tcPr>
            <w:tcW w:w="8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13.00</w:t>
            </w:r>
          </w:p>
        </w:tc>
        <w:tc>
          <w:tcPr>
            <w:tcW w:w="8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14.00</w:t>
            </w: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4"/>
                <w:szCs w:val="14"/>
                <w:b w:val="1"/>
                <w:bCs w:val="1"/>
                <w:color w:val="auto"/>
              </w:rPr>
              <w:t>15.00</w:t>
            </w:r>
          </w:p>
        </w:tc>
        <w:tc>
          <w:tcPr>
            <w:tcW w:w="10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16.00</w:t>
            </w:r>
          </w:p>
        </w:tc>
        <w:tc>
          <w:tcPr>
            <w:tcW w:w="80" w:type="dxa"/>
            <w:vAlign w:val="bottom"/>
          </w:tcPr>
          <w:p>
            <w:pPr>
              <w:spacing w:after="0"/>
              <w:rPr>
                <w:sz w:val="16"/>
                <w:szCs w:val="16"/>
                <w:color w:val="auto"/>
              </w:rPr>
            </w:pPr>
          </w:p>
        </w:tc>
        <w:tc>
          <w:tcPr>
            <w:tcW w:w="600" w:type="dxa"/>
            <w:vAlign w:val="bottom"/>
          </w:tcPr>
          <w:p>
            <w:pPr>
              <w:ind w:left="120"/>
              <w:spacing w:after="0"/>
              <w:rPr>
                <w:sz w:val="20"/>
                <w:szCs w:val="20"/>
                <w:color w:val="auto"/>
              </w:rPr>
            </w:pPr>
            <w:r>
              <w:rPr>
                <w:rFonts w:ascii="Arial" w:cs="Arial" w:eastAsia="Arial" w:hAnsi="Arial"/>
                <w:sz w:val="14"/>
                <w:szCs w:val="14"/>
                <w:b w:val="1"/>
                <w:bCs w:val="1"/>
                <w:color w:val="auto"/>
              </w:rPr>
              <w:t>17.00</w:t>
            </w:r>
          </w:p>
        </w:tc>
        <w:tc>
          <w:tcPr>
            <w:tcW w:w="80" w:type="dxa"/>
            <w:vAlign w:val="bottom"/>
          </w:tcPr>
          <w:p>
            <w:pPr>
              <w:spacing w:after="0"/>
              <w:rPr>
                <w:sz w:val="16"/>
                <w:szCs w:val="16"/>
                <w:color w:val="auto"/>
              </w:rPr>
            </w:pPr>
          </w:p>
        </w:tc>
        <w:tc>
          <w:tcPr>
            <w:tcW w:w="740" w:type="dxa"/>
            <w:vAlign w:val="bottom"/>
          </w:tcPr>
          <w:p>
            <w:pPr>
              <w:jc w:val="right"/>
              <w:ind w:right="71"/>
              <w:spacing w:after="0"/>
              <w:rPr>
                <w:sz w:val="20"/>
                <w:szCs w:val="20"/>
                <w:color w:val="auto"/>
              </w:rPr>
            </w:pPr>
            <w:r>
              <w:rPr>
                <w:rFonts w:ascii="Arial" w:cs="Arial" w:eastAsia="Arial" w:hAnsi="Arial"/>
                <w:sz w:val="14"/>
                <w:szCs w:val="14"/>
                <w:b w:val="1"/>
                <w:bCs w:val="1"/>
                <w:color w:val="auto"/>
              </w:rPr>
              <w:t>≥18.00</w:t>
            </w:r>
          </w:p>
        </w:tc>
        <w:tc>
          <w:tcPr>
            <w:tcW w:w="0" w:type="dxa"/>
            <w:vAlign w:val="bottom"/>
          </w:tcPr>
          <w:p>
            <w:pPr>
              <w:spacing w:after="0"/>
              <w:rPr>
                <w:sz w:val="1"/>
                <w:szCs w:val="1"/>
                <w:color w:val="auto"/>
              </w:rPr>
            </w:pPr>
          </w:p>
        </w:tc>
      </w:tr>
      <w:tr>
        <w:trPr>
          <w:trHeight w:val="26"/>
        </w:trPr>
        <w:tc>
          <w:tcPr>
            <w:tcW w:w="1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60 months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0.261</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0.281</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0.297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0.337</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0.348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0.358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57 months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0.257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0.277</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0.294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0.310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0.337</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0.348</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0.358</w:t>
            </w:r>
          </w:p>
        </w:tc>
        <w:tc>
          <w:tcPr>
            <w:tcW w:w="74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54 months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0.252</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0.272</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0.291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0.307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0.335</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0.347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0.357</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51 months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0.246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0.268</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0.287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0.333</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0.346</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0.357</w:t>
            </w:r>
          </w:p>
        </w:tc>
        <w:tc>
          <w:tcPr>
            <w:tcW w:w="74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48 months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0.241</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0.263</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0.283</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0.301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0.332</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0.344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0.356</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6"/>
        </w:trPr>
        <w:tc>
          <w:tcPr>
            <w:tcW w:w="2020" w:type="dxa"/>
            <w:vAlign w:val="bottom"/>
            <w:gridSpan w:val="2"/>
          </w:tcPr>
          <w:p>
            <w:pPr>
              <w:spacing w:after="0"/>
              <w:rPr>
                <w:sz w:val="20"/>
                <w:szCs w:val="20"/>
                <w:color w:val="auto"/>
              </w:rPr>
            </w:pPr>
            <w:r>
              <w:rPr>
                <w:rFonts w:ascii="Arial" w:cs="Arial" w:eastAsia="Arial" w:hAnsi="Arial"/>
                <w:sz w:val="18"/>
                <w:szCs w:val="18"/>
                <w:color w:val="auto"/>
              </w:rPr>
              <w:t>45 months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0.235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0.258</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0.279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0.298</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0.315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0.343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0.356</w:t>
            </w:r>
          </w:p>
        </w:tc>
        <w:tc>
          <w:tcPr>
            <w:tcW w:w="74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42 months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0.228</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0.252</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0.274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0.328</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0.342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0.355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39 months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0.221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0.246</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0.269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0.290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0.325</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0.340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0.354</w:t>
            </w:r>
          </w:p>
        </w:tc>
        <w:tc>
          <w:tcPr>
            <w:tcW w:w="74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36 months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0.213</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0.239</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0.263</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0.285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0.305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0.323</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0.339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0.353</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33 months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0.205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0.232</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0.257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0.280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0.320</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0.337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0.352</w:t>
            </w:r>
          </w:p>
        </w:tc>
        <w:tc>
          <w:tcPr>
            <w:tcW w:w="74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30 months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0.196</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0.224</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0.250</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0.274</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0.316</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0.335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0.351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27 months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0.185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0.214</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0.242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0.268</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0.291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0.313</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0.332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0.350</w:t>
            </w:r>
          </w:p>
        </w:tc>
        <w:tc>
          <w:tcPr>
            <w:tcW w:w="74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24 months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0.173</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0.204</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0.233</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0.260</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0.285</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0.308</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0.329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0.348</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21 months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0.161</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0.193</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0.223</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0.252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0.279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0.304</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0.326</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0.347</w:t>
            </w:r>
          </w:p>
        </w:tc>
        <w:tc>
          <w:tcPr>
            <w:tcW w:w="74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18 months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0.146</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0.179</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0.211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0.242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0.271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0.298</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0.322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0.345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15 months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0.130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0.164</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0.197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0.230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0.262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0.291</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0.317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0.342</w:t>
            </w:r>
          </w:p>
        </w:tc>
        <w:tc>
          <w:tcPr>
            <w:tcW w:w="74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12 months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0.111</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0.146</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0.181</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0.216</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0.250</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0.282</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0.312</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7"/>
        </w:trPr>
        <w:tc>
          <w:tcPr>
            <w:tcW w:w="2020" w:type="dxa"/>
            <w:vAlign w:val="bottom"/>
            <w:gridSpan w:val="2"/>
          </w:tcPr>
          <w:p>
            <w:pPr>
              <w:spacing w:after="0"/>
              <w:rPr>
                <w:sz w:val="20"/>
                <w:szCs w:val="20"/>
                <w:color w:val="auto"/>
              </w:rPr>
            </w:pPr>
            <w:r>
              <w:rPr>
                <w:rFonts w:ascii="Arial" w:cs="Arial" w:eastAsia="Arial" w:hAnsi="Arial"/>
                <w:sz w:val="18"/>
                <w:szCs w:val="18"/>
                <w:color w:val="auto"/>
              </w:rPr>
              <w:t>9 months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0.090</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0.125</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0.162</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0.199</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0.237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0.272</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0.305</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0.336</w:t>
            </w:r>
          </w:p>
        </w:tc>
        <w:tc>
          <w:tcPr>
            <w:tcW w:w="74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6 months</w:t>
            </w:r>
          </w:p>
        </w:tc>
        <w:tc>
          <w:tcPr>
            <w:tcW w:w="7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0.065</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0.099</w:t>
            </w: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0.137</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0.178</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0.219</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0.259</w:t>
            </w:r>
          </w:p>
        </w:tc>
        <w:tc>
          <w:tcPr>
            <w:tcW w:w="6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0.296</w:t>
            </w:r>
          </w:p>
        </w:tc>
        <w:tc>
          <w:tcPr>
            <w:tcW w:w="6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0.331</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56"/>
        </w:trPr>
        <w:tc>
          <w:tcPr>
            <w:tcW w:w="2020" w:type="dxa"/>
            <w:vAlign w:val="bottom"/>
            <w:gridSpan w:val="2"/>
          </w:tcPr>
          <w:p>
            <w:pPr>
              <w:spacing w:after="0"/>
              <w:rPr>
                <w:sz w:val="20"/>
                <w:szCs w:val="20"/>
                <w:color w:val="auto"/>
              </w:rPr>
            </w:pPr>
            <w:r>
              <w:rPr>
                <w:rFonts w:ascii="Arial" w:cs="Arial" w:eastAsia="Arial" w:hAnsi="Arial"/>
                <w:sz w:val="18"/>
                <w:szCs w:val="18"/>
                <w:color w:val="auto"/>
              </w:rPr>
              <w:t>3 months</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0.034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0.065</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0.104</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0.150</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0.197</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0.243</w:t>
            </w:r>
          </w:p>
        </w:tc>
        <w:tc>
          <w:tcPr>
            <w:tcW w:w="660" w:type="dxa"/>
            <w:vAlign w:val="bottom"/>
            <w:gridSpan w:val="2"/>
          </w:tcPr>
          <w:p>
            <w:pPr>
              <w:ind w:left="120"/>
              <w:spacing w:after="0"/>
              <w:rPr>
                <w:sz w:val="20"/>
                <w:szCs w:val="20"/>
                <w:color w:val="auto"/>
              </w:rPr>
            </w:pPr>
            <w:r>
              <w:rPr>
                <w:rFonts w:ascii="Arial" w:cs="Arial" w:eastAsia="Arial" w:hAnsi="Arial"/>
                <w:sz w:val="18"/>
                <w:szCs w:val="18"/>
                <w:color w:val="auto"/>
              </w:rPr>
              <w:t>0.286</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0.326</w:t>
            </w:r>
          </w:p>
        </w:tc>
        <w:tc>
          <w:tcPr>
            <w:tcW w:w="740" w:type="dxa"/>
            <w:vAlign w:val="bottom"/>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 months</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0.042</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0.115</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0.179</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0.233</w:t>
            </w:r>
          </w:p>
        </w:tc>
        <w:tc>
          <w:tcPr>
            <w:tcW w:w="6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0.281</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0.323</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0.361</w:t>
            </w:r>
          </w:p>
        </w:tc>
        <w:tc>
          <w:tcPr>
            <w:tcW w:w="0" w:type="dxa"/>
            <w:vAlign w:val="bottom"/>
          </w:tcPr>
          <w:p>
            <w:pPr>
              <w:spacing w:after="0"/>
              <w:rPr>
                <w:sz w:val="1"/>
                <w:szCs w:val="1"/>
                <w:color w:val="auto"/>
              </w:rPr>
            </w:pPr>
          </w:p>
        </w:tc>
      </w:tr>
      <w:tr>
        <w:trPr>
          <w:trHeight w:val="27"/>
        </w:trPr>
        <w:tc>
          <w:tcPr>
            <w:tcW w:w="19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exact fair market value and redemption date may not be set forth in the table above, in which case, if the fair market value is between two values in the table or the redemption date is between two redemption dates in the table, the number of shares of Class A common stock to be issued for each warrant exercised will be determined by a</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19" w:name="page120"/>
    <w:bookmarkEnd w:id="119"/>
    <w:p>
      <w:pPr>
        <w:ind w:left="460" w:right="479"/>
        <w:spacing w:after="0" w:line="235" w:lineRule="auto"/>
        <w:rPr>
          <w:sz w:val="20"/>
          <w:szCs w:val="20"/>
          <w:color w:val="auto"/>
        </w:rPr>
      </w:pPr>
      <w:r>
        <w:rPr>
          <w:rFonts w:ascii="Arial" w:cs="Arial" w:eastAsia="Arial" w:hAnsi="Arial"/>
          <w:sz w:val="18"/>
          <w:szCs w:val="18"/>
          <w:color w:val="auto"/>
        </w:rPr>
        <w:t>straight-line interpolation between the number of shares set forth for the higher and lower fair market values and the earlier and later redemption dates, as applicable, based on a 365 or 366-day year, as applicable. For example, if the volume weighted average price of our Class A common stock during the 10 trading days immediately following the date on which the notice of redemption is sent to the holders of the warrants is $11.00 per share, and at such time there are 57 months until the expiration of the warrants, holders may choose to, in connection with this redemption feature, exercise their warrants for 0.277 Class A common stock for each whole warrant. For an example where the exact fair market value and redemption date are not as set forth in the table above, if the volume weighted average price of our Class common stock during the 10 trading days immediately following the date on which the notice of redemption is sent to the holders of the warrants is $13.50 per share, and at such time there are 38 months until the expiration of the warrants, holders may choose to, in connection with this redemption feature, exercise their warrants for 0.298 Class A common stock for each whole warrant. In no event will the warrants be exercisable on a cashless basis in connection with this redemption feature for more than 0.361 shares of Class A common stock per warrant (subject to adjustment). Finally, as reflected in the table above, if the warrants are out of the money and about to expire, they cannot be exercised on a cashless basis in connection with a redemption by us pursuant to this redemption feature, since they will not be exercisable for any shares of Class A common stock.</w:t>
      </w:r>
    </w:p>
    <w:p>
      <w:pPr>
        <w:spacing w:after="0" w:line="132" w:lineRule="exact"/>
        <w:rPr>
          <w:sz w:val="20"/>
          <w:szCs w:val="20"/>
          <w:color w:val="auto"/>
        </w:rPr>
      </w:pPr>
    </w:p>
    <w:p>
      <w:pPr>
        <w:ind w:left="460" w:right="459"/>
        <w:spacing w:after="0" w:line="250" w:lineRule="auto"/>
        <w:rPr>
          <w:sz w:val="20"/>
          <w:szCs w:val="20"/>
          <w:color w:val="auto"/>
        </w:rPr>
      </w:pPr>
      <w:r>
        <w:rPr>
          <w:rFonts w:ascii="Arial" w:cs="Arial" w:eastAsia="Arial" w:hAnsi="Arial"/>
          <w:sz w:val="17"/>
          <w:szCs w:val="17"/>
          <w:color w:val="auto"/>
        </w:rPr>
        <w:t>This redemption feature differs from the typical warrant redemption features used in other blank check offerings, which typically only provide for a redemption of warrants for cash (other than the private placement warrants) when the trading price for the Class A common stock exceeds $18.00 per share for a specified period of time. This redemption feature is structured to allow for all of the outstanding warrants to be redeemed when the Class A common stock are trading at or above $10.00 per share, which may be at a time when the trading price of our Class A common stock is below the exercise price of the warrants. We have established this redemption feature to provide us with the flexibility to redeem the warrants without the warrants having to reach the $18.00 per share threshold set forth above under “— Redemption of warrants when the price per share of Class A common stock equals or exceeds $18.00.” Holders choosing to exercise their warrants in connection with a redemption pursuant to this feature will, in effect, receive a number of shares for their warrants based on an option pricing model with a fixed volatility input as of the date of this prospectus. This redemption right provides us with an additional mechanism by which to redeem all of the outstanding warrants, and therefore have certainty as to our capital structure as the warrants would no longer be outstanding and would have been exercised or redeemed and we will be required to pay the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331"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As stated above, we can redeem the warrants when the Class A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Class A common stock are trading at a price below the exercise price of the warrants, this could result in the warrant holders receiving fewer Class A common stock than they would have received if they had chosen to wait to exercise their warrants for Class A common stock if and when such Class A common stock were trading at a price higher than the exercise price of $11.50.</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No fractional Class A common stock will be issued upon exercise. If, upon exercise, a holder would be entitled to receive a fractional interest in a share, we will round down to the nearest whole number of the number of Class A common stock to be issued to the holder. If, at the time of redemption, the warrants are exercisable for a security other than the shares of Class A common stock pursuant to the warrant agreement (for instance, if we are not the surviving company in our initial business combination), the warrants may be exercised for such security. At such time as the warrants become exercisable for a security other than the Class A common stock, the Company (or surviving company) will use its commercially reasonable efforts to register under the Securities Act the security issuable upon exercise of the warrants.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procedures</w:t>
      </w:r>
    </w:p>
    <w:p>
      <w:pPr>
        <w:spacing w:after="0" w:line="15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common stock outstanding immediately after giving effect to such exercise.</w:t>
      </w:r>
    </w:p>
    <w:p>
      <w:pPr>
        <w:sectPr>
          <w:pgSz w:w="11900" w:h="16838" w:orient="portrait"/>
          <w:cols w:equalWidth="0" w:num="1">
            <w:col w:w="9019"/>
          </w:cols>
          <w:pgMar w:left="1440" w:top="287" w:right="1440" w:bottom="1440" w:gutter="0" w:footer="0" w:header="0"/>
        </w:sectPr>
      </w:pP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20" w:name="page121"/>
    <w:bookmarkEnd w:id="120"/>
    <w:p>
      <w:pPr>
        <w:ind w:left="460"/>
        <w:spacing w:after="0"/>
        <w:rPr>
          <w:sz w:val="20"/>
          <w:szCs w:val="20"/>
          <w:color w:val="auto"/>
        </w:rPr>
      </w:pPr>
      <w:r>
        <w:rPr>
          <w:rFonts w:ascii="Arial" w:cs="Arial" w:eastAsia="Arial" w:hAnsi="Arial"/>
          <w:sz w:val="18"/>
          <w:szCs w:val="18"/>
          <w:b w:val="1"/>
          <w:bCs w:val="1"/>
          <w:i w:val="1"/>
          <w:iCs w:val="1"/>
          <w:color w:val="auto"/>
        </w:rPr>
        <w:t>Anti-Dilution Adjustments</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If the number of outstanding shares of Class A common stock is increased by a capitalization or share dividend payable in Class A common stock, or by a split-up of common stock or other similar event, then, on the effective date of such capitalization or share dividend, split-up or similar event, the number of shares of Class A common stock issuable on exercise of each warrant will be increased in proportion to such increase in the outstanding ordinary stock. A rights offering made to all or substantially all holders of common stock entitling holders to purchase Class A common stock at a price less than the “historical fair market value” (as defined below) will be deemed a share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Class A common stock) and (ii) one minus the quotient of (x) the price per share of Class A common stock paid in such rights offering and (y) the historical fair market value. For these purposes, (i) if the rights offering is for securities convertible into or exercisable for Class A common stock, in determining the price payable for Class A common stock, there will be taken into account any consideration received for such rights, as well as any additional amount payable upon exercise or conversion and (ii) “historical fair market value” means the volume weighted average price of Class A Common stock as reported during the 10 trading day period ending on the trading day prior to the first date on which the Class A common stock trade on the applicable exchange or in the applicable market, regular way, without the right to receive such rights.</w:t>
      </w:r>
    </w:p>
    <w:p>
      <w:pPr>
        <w:spacing w:after="0" w:line="132"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addition, if we, at any time while the warrants are outstanding and unexpired, pay a dividend or make a distribution in cash, securities or other assets to all or substantially all of the holders of the Class A common stock on account of such Class A common stock (or other securities into which the warrants are convertible), other than (a) as described above, (b) any cash dividends or cash distributions which, when combined on a per share basis with all other cash dividends and cash distributions paid on the Class A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Class A common stock issuable on exercise of each warrant) but only with respect to the amount of the aggregate cash dividends or cash distributions equal to or less than $0.50 per share, (c) to satisfy the redemption rights of the holders of Class A common stock in connection with a proposed initial business combination, (d) to satisfy the redemption rights of the holders of Class A common stock in connection with a shareholder vote to amend our amended and restated certificate of incorporation (A) to modify the substance or timing of our obligation to provide holders of our Class A common stock the right to have their shares redeemed in connection with our initial business combination or to redeem 100% of our public shares if we do not complete our initial business combination within 24 months from the closing of this offering or (B) with respect to any other provision relating to the rights of holders of our Class A common stock,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145" w:lineRule="exact"/>
        <w:rPr>
          <w:sz w:val="20"/>
          <w:szCs w:val="20"/>
          <w:color w:val="auto"/>
        </w:rPr>
      </w:pPr>
    </w:p>
    <w:p>
      <w:pPr>
        <w:ind w:left="460" w:right="639"/>
        <w:spacing w:after="0" w:line="255" w:lineRule="auto"/>
        <w:rPr>
          <w:sz w:val="20"/>
          <w:szCs w:val="20"/>
          <w:color w:val="auto"/>
        </w:rPr>
      </w:pPr>
      <w:r>
        <w:rPr>
          <w:rFonts w:ascii="Arial" w:cs="Arial" w:eastAsia="Arial" w:hAnsi="Arial"/>
          <w:sz w:val="17"/>
          <w:szCs w:val="17"/>
          <w:color w:val="auto"/>
        </w:rPr>
        <w:t>If the number of outstanding shares of Class A common stock is decreased by a consolidation, combination, reverse share split or reclassification of Class A common stock or other similar event, then, on the effective date of such consolidation, combination, reverse share split, reclassification or similar event, the number of shares of Class A common stock issuable on exercise of each warrant will be decreased in proportion to such decrease in outstanding shares of Class A common stock.</w:t>
      </w:r>
    </w:p>
    <w:p>
      <w:pPr>
        <w:spacing w:after="0" w:line="123"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Whenever the number of shares of Class A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Class A common stock purchasable upon the exercise of the warrants immediately prior to such adjustment and (y) the denominator of which will be the number of shares of Class A common stock so purchasable immediately thereafter.</w:t>
      </w:r>
    </w:p>
    <w:p>
      <w:pPr>
        <w:spacing w:after="0" w:line="12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In addition, if (x) we issue additional shares of Class A common stock or equity-linked securities for capital raising purposes in connection with the closing of our initial business combination at an issue price or effective issue price of less than $9.20 per share (with such issue price or effective issue price to be determined in good faith by our board of directors and, in the case of any such issuance to our sponsor or its affiliates, without taking into account any founder shares held by our sponsor or such affiliates, as applicable, prior to such issuance) (the “Newly</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21" w:name="page122"/>
    <w:bookmarkEnd w:id="121"/>
    <w:p>
      <w:pPr>
        <w:ind w:left="460" w:right="479"/>
        <w:spacing w:after="0" w:line="235" w:lineRule="auto"/>
        <w:rPr>
          <w:sz w:val="20"/>
          <w:szCs w:val="20"/>
          <w:color w:val="auto"/>
        </w:rPr>
      </w:pPr>
      <w:r>
        <w:rPr>
          <w:rFonts w:ascii="Arial" w:cs="Arial" w:eastAsia="Arial" w:hAnsi="Arial"/>
          <w:sz w:val="18"/>
          <w:szCs w:val="18"/>
          <w:color w:val="auto"/>
        </w:rPr>
        <w:t>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common stock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the $ 18.00 per share redemption trigger price described above under “— Redemption of warrants when the price per share of Class A common stock equals or exceeds $18.00” will be adjusted (to the nearest cent) to be equal to 180% of the higher of the Market Value and the Newly Issued Price, and the $ 10.00 per share redemption trigger price described above under “— Redemption of warrants when the price per share of Class A common stock equals or exceeds $10.00” will be adjusted (to the nearest cent) to be equal to the higher of the Market Value and the Newly Issued Price.</w:t>
      </w:r>
    </w:p>
    <w:p>
      <w:pPr>
        <w:spacing w:after="0" w:line="13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case of any reclassification or reorganization of the outstanding Class A common stock (other than those described above or that solely affects the par value of such Class A common stock), or in the case of any merger or consolidation of us with or into another corporation (other than a consolidation or merger in which we are the continuing corporation and that does not result in any reclassification or reorganization of our outstanding Class A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common stock in such a transaction is payable in the form of Class A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Warrant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14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and that all other modifications or amendments will require the vote or written consent of the holders of at least 50% of the then outstanding public warrants, and, solely with respect to any amendment to the terms of the private placement warrants, a majority of the then outstanding private placement warrants. You should review a copy of the warrant agreement, which will be filed as an exhibit to the registration statement of which this prospectus is a part, for a complete description of the terms and conditions applicable to the warrants.</w:t>
      </w:r>
    </w:p>
    <w:p>
      <w:pPr>
        <w:spacing w:after="0" w:line="139" w:lineRule="exact"/>
        <w:rPr>
          <w:sz w:val="20"/>
          <w:szCs w:val="20"/>
          <w:color w:val="auto"/>
        </w:rPr>
      </w:pPr>
    </w:p>
    <w:p>
      <w:pPr>
        <w:ind w:left="460" w:right="519"/>
        <w:spacing w:after="0" w:line="252"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Class A common stock. After the issuance of Class A common stock upon exercise of the warrants, each holder will be entitled to one vote for each share held of record on all matters to be voted on by stockholders.</w:t>
      </w:r>
    </w:p>
    <w:p>
      <w:pPr>
        <w:spacing w:after="0" w:line="113"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No fractional shares will be issued upon exercise of the warrants. If, upon exercise of the warrants, a holder would be entitled to receive a fractional interest in a share, we will, upon exercise, round down to the nearest whole number the number of shares of Class A common stock to be issued to the warrant holder.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2" w:name="page123"/>
    <w:bookmarkEnd w:id="122"/>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Except as described below, the private placement warrants have terms and provisions that are identical to those of the warrants being sold as part of the units in this offering. The private placement warrants (including the Class A common stock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Warrants,” to our officers and directors and other persons or entities affiliated with the initial purchasers of the private placement warrants) and they will not be redeemable by us so long as they are held by our sponsor or its permitted transferees (except as otherwise set forth herein). Our sponsor, or its permitted transferees, has the option to exercise the private placement warrants on a cashless basis. If the private placement warrants are held by holders other than our sponsor or its permitted transferees, the private placement warrants will be redeemable by us in all redemption scenarios and exercisable by the holders on the same basis as the warrants included in the units being sold in this offering.</w:t>
      </w:r>
    </w:p>
    <w:p>
      <w:pPr>
        <w:spacing w:after="0" w:line="122" w:lineRule="exact"/>
        <w:rPr>
          <w:sz w:val="20"/>
          <w:szCs w:val="20"/>
          <w:color w:val="auto"/>
        </w:rPr>
      </w:pPr>
    </w:p>
    <w:p>
      <w:pPr>
        <w:jc w:val="both"/>
        <w:ind w:left="460" w:right="639"/>
        <w:spacing w:after="0" w:line="248" w:lineRule="auto"/>
        <w:rPr>
          <w:sz w:val="20"/>
          <w:szCs w:val="20"/>
          <w:color w:val="auto"/>
        </w:rPr>
      </w:pPr>
      <w:r>
        <w:rPr>
          <w:rFonts w:ascii="Arial" w:cs="Arial" w:eastAsia="Arial" w:hAnsi="Arial"/>
          <w:sz w:val="17"/>
          <w:szCs w:val="17"/>
          <w:color w:val="auto"/>
        </w:rPr>
        <w:t>If holders of the private placement warrants elect to exercise them on a cashless basis, they would pay the exercise price by surrendering his, her or its warrants for that number of shares of Class A common stock equal to the quotient obtained by dividing (x) the product of the number of shares of Class A common stock underlying the warrants, multiplied by the excess of the “Sponsor fair market value” (defined below) over the exercise price of the warrants by (y) the Sponsor fair market value.</w:t>
      </w:r>
    </w:p>
    <w:p>
      <w:pPr>
        <w:spacing w:after="0" w:line="3"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For these purposes, the “Sponsor fair market value” shall mean the average reported closing price of the Class A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and its permitted transferees is because it is not known at this time whether they will be affiliated with us following a business combination. If they remain affiliated with us, their ability to sell our securities in the open market will be significantly limited. We expect to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common stock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4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Up to $ 1,500,000 of such loans may be convertible into warrants of the post business combination entity at a price of $1.50 per warrant at the option of the lender. Such warrants would be identical to the private placement warrants.</w:t>
      </w:r>
    </w:p>
    <w:p>
      <w:pPr>
        <w:spacing w:after="0" w:line="137"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Our initial stockholders have agreed not to transfer, assign or sell any of the private placement warrants (including the Class A common stock issuable upon exercise of any of these warrants) until the date that is 30 days after the date we complete our initial business combination, except that, among other limited exceptions as described under “Principal Stockholders — Transfers of Founder Shares and Private Placement Warrants,” transfers can be made to our officers and directors and other persons or entities affiliated with the sponsor.</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have not paid any cash dividends on our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or decrease the size of this offering, then we will effect a stock dividend or share contribution back to capital or other appropriate mechanism, as applicable, with respect to our founder shares immediately prior to the consummation of the offering in such amount as to maintain the number of founder shares at 20.0% of our issued and outstanding common stock upon the consummation of this offering. Further, if we incur any indebtedness, our ability to declare dividends may be limited by restrictive covenants we may agree to in connection therewith.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3" w:name="page124"/>
    <w:bookmarkEnd w:id="123"/>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39"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transfer agent for our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or intentional misconduct of the indemnified person or entity. Continental Stock Transfer &amp; Trust Company has agreed that it has no right of set-off or any right, title, interest or claim of any kind to, or to any monies in, the trust account, and has irrevocably waived any right, title, interest or claim of any kind to, or to any monies in, the trust account that it may have now or in the future. Accordingly, any indemnification provided will only be able to be satisfied, or a claim will only be able to be pursued, solely against us and our assets outside the trust account and not against the any monies in the trust account or interest earned thereon.</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139"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65% of our common stock. Our initial stockholders, who will collectively beneficially own 20% of our common stock upon the closing of this offering (assuming they do not purchase any units in this offering), may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32" w:lineRule="exact"/>
        <w:rPr>
          <w:sz w:val="20"/>
          <w:szCs w:val="20"/>
          <w:color w:val="auto"/>
        </w:rPr>
      </w:pPr>
    </w:p>
    <w:p>
      <w:pPr>
        <w:ind w:left="1100" w:right="699" w:hanging="322"/>
        <w:spacing w:after="0" w:line="248" w:lineRule="auto"/>
        <w:tabs>
          <w:tab w:leader="none" w:pos="1039" w:val="left"/>
        </w:tabs>
        <w:numPr>
          <w:ilvl w:val="0"/>
          <w:numId w:val="62"/>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w:t>
      </w:r>
    </w:p>
    <w:p>
      <w:pPr>
        <w:spacing w:after="0" w:line="1" w:lineRule="exact"/>
        <w:rPr>
          <w:rFonts w:ascii="Arial" w:cs="Arial" w:eastAsia="Arial" w:hAnsi="Arial"/>
          <w:sz w:val="17"/>
          <w:szCs w:val="17"/>
          <w:color w:val="auto"/>
        </w:rPr>
      </w:pPr>
    </w:p>
    <w:p>
      <w:pPr>
        <w:ind w:left="1100" w:right="479" w:firstLine="2"/>
        <w:spacing w:after="0" w:line="236" w:lineRule="auto"/>
        <w:tabs>
          <w:tab w:leader="none" w:pos="135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our remaining stockholders and our board of directors, liquidate and dissolve, subject in each case to our obligations under Delaware law to provide for claims of creditors and in all cases subject to the requirements of other applicable law;</w:t>
      </w:r>
    </w:p>
    <w:p>
      <w:pPr>
        <w:spacing w:after="0" w:line="15" w:lineRule="exact"/>
        <w:rPr>
          <w:rFonts w:ascii="Arial" w:cs="Arial" w:eastAsia="Arial" w:hAnsi="Arial"/>
          <w:sz w:val="18"/>
          <w:szCs w:val="18"/>
          <w:color w:val="auto"/>
        </w:rPr>
      </w:pPr>
    </w:p>
    <w:p>
      <w:pPr>
        <w:ind w:left="1100" w:right="499" w:hanging="322"/>
        <w:spacing w:after="0" w:line="248" w:lineRule="auto"/>
        <w:tabs>
          <w:tab w:leader="none" w:pos="1039" w:val="left"/>
        </w:tabs>
        <w:numPr>
          <w:ilvl w:val="0"/>
          <w:numId w:val="62"/>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securities that would entitle the holders thereof to (i) receive funds from the trust account or (ii) vote as a class with our public shares (a) on our initial business combination or (b) to approve an amendment to our amended and restated certificate of incorporation to (x) extend the time we have to consummate a business combination beyond 24 months from the closing of this offering or</w:t>
      </w:r>
    </w:p>
    <w:p>
      <w:pPr>
        <w:spacing w:after="0" w:line="2" w:lineRule="exact"/>
        <w:rPr>
          <w:rFonts w:ascii="Arial" w:cs="Arial" w:eastAsia="Arial" w:hAnsi="Arial"/>
          <w:sz w:val="17"/>
          <w:szCs w:val="17"/>
          <w:color w:val="auto"/>
        </w:rPr>
      </w:pPr>
    </w:p>
    <w:p>
      <w:pPr>
        <w:ind w:left="1360" w:hanging="258"/>
        <w:spacing w:after="0"/>
        <w:tabs>
          <w:tab w:leader="none" w:pos="13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amend the foregoing provisions;</w:t>
      </w:r>
    </w:p>
    <w:p>
      <w:pPr>
        <w:spacing w:after="0" w:line="36" w:lineRule="exact"/>
        <w:rPr>
          <w:rFonts w:ascii="Arial" w:cs="Arial" w:eastAsia="Arial" w:hAnsi="Arial"/>
          <w:sz w:val="18"/>
          <w:szCs w:val="18"/>
          <w:color w:val="auto"/>
        </w:rPr>
      </w:pPr>
    </w:p>
    <w:p>
      <w:pPr>
        <w:ind w:left="1100" w:right="599" w:hanging="322"/>
        <w:spacing w:after="0" w:line="237" w:lineRule="auto"/>
        <w:tabs>
          <w:tab w:leader="none" w:pos="10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which is a member of FINRA or a valuation or appraisal firm that such a business combination is fair to our company from a financial point of view;</w:t>
      </w:r>
    </w:p>
    <w:p>
      <w:pPr>
        <w:spacing w:after="0" w:line="29" w:lineRule="exact"/>
        <w:rPr>
          <w:rFonts w:ascii="Arial" w:cs="Arial" w:eastAsia="Arial" w:hAnsi="Arial"/>
          <w:sz w:val="18"/>
          <w:szCs w:val="18"/>
          <w:color w:val="auto"/>
        </w:rPr>
      </w:pPr>
    </w:p>
    <w:p>
      <w:pPr>
        <w:ind w:left="1100" w:right="499" w:hanging="322"/>
        <w:spacing w:after="0" w:line="236" w:lineRule="auto"/>
        <w:tabs>
          <w:tab w:leader="none" w:pos="10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Exchange Act or our listing on Nasdaq, we will provide our public stockholders with the opportunity to redeem their public shares by one of the two methods listed above;</w:t>
      </w:r>
    </w:p>
    <w:p>
      <w:pPr>
        <w:spacing w:after="0" w:line="17" w:lineRule="exact"/>
        <w:rPr>
          <w:rFonts w:ascii="Arial" w:cs="Arial" w:eastAsia="Arial" w:hAnsi="Arial"/>
          <w:sz w:val="18"/>
          <w:szCs w:val="18"/>
          <w:color w:val="auto"/>
        </w:rPr>
      </w:pPr>
    </w:p>
    <w:p>
      <w:pPr>
        <w:ind w:left="1100" w:right="499" w:hanging="322"/>
        <w:spacing w:after="0" w:line="237" w:lineRule="auto"/>
        <w:tabs>
          <w:tab w:leader="none" w:pos="1039" w:val="left"/>
        </w:tabs>
        <w:numPr>
          <w:ilvl w:val="0"/>
          <w:numId w:val="63"/>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the deferred underwriting commissions and taxes payable on the interest earned on the trust account) at the time of our signing a definitive agreement in connection with our initial business combination;</w:t>
      </w:r>
    </w:p>
    <w:p>
      <w:pPr>
        <w:sectPr>
          <w:pgSz w:w="11900" w:h="16838" w:orient="portrait"/>
          <w:cols w:equalWidth="0" w:num="1">
            <w:col w:w="9019"/>
          </w:cols>
          <w:pgMar w:left="1440" w:top="333"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24" w:name="page125"/>
    <w:bookmarkEnd w:id="124"/>
    <w:p>
      <w:pPr>
        <w:ind w:left="1100" w:right="739" w:hanging="322"/>
        <w:spacing w:after="0" w:line="236" w:lineRule="auto"/>
        <w:tabs>
          <w:tab w:leader="none" w:pos="10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If our stockholders approve an amendment to our amended and restated certificate of incorporation to modify the substance or timing of our obligation to redeem 100% of our public shares if we do not complete our initial business combination within 24 months from the closing of this offering, or with respect to any other material provisions relating to stockholders’ rights or pre-initial business combination activity, we will provide our public stockholders with the opportunity to redeem all or a portion of their Class A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 subject to the limitations described herein; and</w:t>
      </w:r>
    </w:p>
    <w:p>
      <w:pPr>
        <w:spacing w:after="0" w:line="16" w:lineRule="exact"/>
        <w:rPr>
          <w:rFonts w:ascii="Arial" w:cs="Arial" w:eastAsia="Arial" w:hAnsi="Arial"/>
          <w:sz w:val="18"/>
          <w:szCs w:val="18"/>
          <w:color w:val="auto"/>
        </w:rPr>
      </w:pPr>
    </w:p>
    <w:p>
      <w:pPr>
        <w:ind w:left="1100" w:right="559" w:hanging="322"/>
        <w:spacing w:after="0" w:line="246" w:lineRule="auto"/>
        <w:tabs>
          <w:tab w:leader="none" w:pos="1039"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129" w:lineRule="exact"/>
        <w:rPr>
          <w:sz w:val="20"/>
          <w:szCs w:val="20"/>
          <w:color w:val="auto"/>
        </w:rPr>
      </w:pPr>
    </w:p>
    <w:p>
      <w:pPr>
        <w:ind w:left="460" w:right="979"/>
        <w:spacing w:after="0"/>
        <w:rPr>
          <w:sz w:val="20"/>
          <w:szCs w:val="20"/>
          <w:color w:val="auto"/>
        </w:rPr>
      </w:pPr>
      <w:r>
        <w:rPr>
          <w:rFonts w:ascii="Arial" w:cs="Arial" w:eastAsia="Arial" w:hAnsi="Arial"/>
          <w:sz w:val="18"/>
          <w:szCs w:val="18"/>
          <w:color w:val="auto"/>
        </w:rPr>
        <w:t>In addition, our amended and restated certificate of incorporation provides that under no circumstances will we redeem our public shares in an amount that would cause our net tangible assets to be less than $5,000,001.</w:t>
      </w:r>
    </w:p>
    <w:p>
      <w:pPr>
        <w:spacing w:after="0" w:line="181" w:lineRule="exact"/>
        <w:rPr>
          <w:sz w:val="20"/>
          <w:szCs w:val="20"/>
          <w:color w:val="auto"/>
        </w:rPr>
      </w:pPr>
    </w:p>
    <w:p>
      <w:pPr>
        <w:ind w:left="460" w:right="599"/>
        <w:spacing w:after="0" w:line="271" w:lineRule="auto"/>
        <w:rPr>
          <w:sz w:val="20"/>
          <w:szCs w:val="20"/>
          <w:color w:val="auto"/>
        </w:rPr>
      </w:pPr>
      <w:r>
        <w:rPr>
          <w:rFonts w:ascii="Arial" w:cs="Arial" w:eastAsia="Arial" w:hAnsi="Arial"/>
          <w:sz w:val="18"/>
          <w:szCs w:val="18"/>
          <w:b w:val="1"/>
          <w:bCs w:val="1"/>
          <w:color w:val="auto"/>
        </w:rPr>
        <w:t>Certain Anti-Takeover Provisions of Delaware Law and our Amended and Restated Certificate of Incorporation and Bylaws</w:t>
      </w:r>
    </w:p>
    <w:p>
      <w:pPr>
        <w:spacing w:after="0" w:line="108" w:lineRule="exact"/>
        <w:rPr>
          <w:sz w:val="20"/>
          <w:szCs w:val="20"/>
          <w:color w:val="auto"/>
        </w:rPr>
      </w:pPr>
    </w:p>
    <w:p>
      <w:pPr>
        <w:ind w:left="460" w:right="579"/>
        <w:spacing w:after="0"/>
        <w:rPr>
          <w:sz w:val="20"/>
          <w:szCs w:val="20"/>
          <w:color w:val="auto"/>
        </w:rPr>
      </w:pPr>
      <w:r>
        <w:rPr>
          <w:rFonts w:ascii="Arial" w:cs="Arial" w:eastAsia="Arial" w:hAnsi="Arial"/>
          <w:sz w:val="18"/>
          <w:szCs w:val="18"/>
          <w:color w:val="auto"/>
        </w:rPr>
        <w:t>We will be subject to the provisions of Section 203 of the DGCL regulating corporate takeovers upon completion of this offering. This statute prevents certain Delaware corporations, under certain circumstances, from engaging in a “business combination” with:</w:t>
      </w:r>
    </w:p>
    <w:p>
      <w:pPr>
        <w:spacing w:after="0" w:line="14" w:lineRule="exact"/>
        <w:rPr>
          <w:sz w:val="20"/>
          <w:szCs w:val="20"/>
          <w:color w:val="auto"/>
        </w:rPr>
      </w:pPr>
    </w:p>
    <w:p>
      <w:pPr>
        <w:ind w:left="1100" w:right="539" w:hanging="322"/>
        <w:spacing w:after="0" w:line="246" w:lineRule="auto"/>
        <w:tabs>
          <w:tab w:leader="none" w:pos="10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stockholder who owns 15% or more of our outstanding voting stock (otherwise known as an “interested stockholder”);</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affiliate of an interested stockholder; or</w:t>
      </w:r>
    </w:p>
    <w:p>
      <w:pPr>
        <w:spacing w:after="0" w:line="36" w:lineRule="exact"/>
        <w:rPr>
          <w:rFonts w:ascii="Arial" w:cs="Arial" w:eastAsia="Arial" w:hAnsi="Arial"/>
          <w:sz w:val="18"/>
          <w:szCs w:val="18"/>
          <w:color w:val="auto"/>
        </w:rPr>
      </w:pPr>
    </w:p>
    <w:p>
      <w:pPr>
        <w:ind w:left="1100" w:right="1359" w:hanging="322"/>
        <w:spacing w:after="0" w:line="246" w:lineRule="auto"/>
        <w:tabs>
          <w:tab w:leader="none" w:pos="1039"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associate of an interested stockholder, for three years following the date that the stockholder became an interested stockholder.</w:t>
      </w:r>
    </w:p>
    <w:p>
      <w:pPr>
        <w:spacing w:after="0" w:line="116" w:lineRule="exact"/>
        <w:rPr>
          <w:sz w:val="20"/>
          <w:szCs w:val="20"/>
          <w:color w:val="auto"/>
        </w:rPr>
      </w:pPr>
    </w:p>
    <w:p>
      <w:pPr>
        <w:ind w:left="460" w:right="779"/>
        <w:spacing w:after="0" w:line="246" w:lineRule="auto"/>
        <w:rPr>
          <w:sz w:val="20"/>
          <w:szCs w:val="20"/>
          <w:color w:val="auto"/>
        </w:rPr>
      </w:pPr>
      <w:r>
        <w:rPr>
          <w:rFonts w:ascii="Arial" w:cs="Arial" w:eastAsia="Arial" w:hAnsi="Arial"/>
          <w:sz w:val="18"/>
          <w:szCs w:val="18"/>
          <w:color w:val="auto"/>
        </w:rPr>
        <w:t>A “business combination” includes a merger or sale of more than 10% of our assets. However, the above provisions of Section 203 do not apply if:</w:t>
      </w:r>
    </w:p>
    <w:p>
      <w:pPr>
        <w:spacing w:after="0" w:line="21" w:lineRule="exact"/>
        <w:rPr>
          <w:sz w:val="20"/>
          <w:szCs w:val="20"/>
          <w:color w:val="auto"/>
        </w:rPr>
      </w:pPr>
    </w:p>
    <w:p>
      <w:pPr>
        <w:ind w:left="1100" w:right="979" w:hanging="322"/>
        <w:spacing w:after="0" w:line="246" w:lineRule="auto"/>
        <w:tabs>
          <w:tab w:leader="none" w:pos="10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board of directors approves the transaction that made the stockholder an “interested stockholder,” prior to the date of the transaction;</w:t>
      </w:r>
    </w:p>
    <w:p>
      <w:pPr>
        <w:spacing w:after="0" w:line="21" w:lineRule="exact"/>
        <w:rPr>
          <w:rFonts w:ascii="Arial" w:cs="Arial" w:eastAsia="Arial" w:hAnsi="Arial"/>
          <w:sz w:val="18"/>
          <w:szCs w:val="18"/>
          <w:color w:val="auto"/>
        </w:rPr>
      </w:pPr>
    </w:p>
    <w:p>
      <w:pPr>
        <w:ind w:left="1100" w:right="539" w:hanging="322"/>
        <w:spacing w:after="0"/>
        <w:tabs>
          <w:tab w:leader="none" w:pos="10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3" w:lineRule="exact"/>
        <w:rPr>
          <w:rFonts w:ascii="Arial" w:cs="Arial" w:eastAsia="Arial" w:hAnsi="Arial"/>
          <w:sz w:val="18"/>
          <w:szCs w:val="18"/>
          <w:color w:val="auto"/>
        </w:rPr>
      </w:pPr>
    </w:p>
    <w:p>
      <w:pPr>
        <w:ind w:left="1100" w:right="599" w:hanging="322"/>
        <w:spacing w:after="0" w:line="238" w:lineRule="auto"/>
        <w:tabs>
          <w:tab w:leader="none" w:pos="10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 or subsequent to the date of the transaction, the initial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37"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Our amended and restated certificate of incorporation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135"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153"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Our amended and restated certificate of incorporation will require, unless we consent in writing to the selection of an alternative forum, that (i) any derivative action or proceeding brought on our behalf,</w:t>
      </w:r>
    </w:p>
    <w:p>
      <w:pPr>
        <w:spacing w:after="0" w:line="1" w:lineRule="exact"/>
        <w:rPr>
          <w:sz w:val="20"/>
          <w:szCs w:val="20"/>
          <w:color w:val="auto"/>
        </w:rPr>
      </w:pPr>
    </w:p>
    <w:p>
      <w:pPr>
        <w:ind w:left="460" w:right="499" w:hanging="6"/>
        <w:spacing w:after="0"/>
        <w:tabs>
          <w:tab w:leader="none" w:pos="71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action asserting a claim of breach of a fiduciary duty owed by any director, officer or other employee to us or our stockholders, (iii) any action asserting a claim against us, our directors, officers or employees arising pursuant to any provision of the DGCL</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25" w:name="page126"/>
    <w:bookmarkEnd w:id="125"/>
    <w:p>
      <w:pPr>
        <w:ind w:left="460" w:right="499"/>
        <w:spacing w:after="0" w:line="234" w:lineRule="auto"/>
        <w:rPr>
          <w:sz w:val="20"/>
          <w:szCs w:val="20"/>
          <w:color w:val="auto"/>
        </w:rPr>
      </w:pPr>
      <w:r>
        <w:rPr>
          <w:rFonts w:ascii="Arial" w:cs="Arial" w:eastAsia="Arial" w:hAnsi="Arial"/>
          <w:sz w:val="18"/>
          <w:szCs w:val="18"/>
          <w:color w:val="auto"/>
        </w:rPr>
        <w:t>or our amended and restated certificate of incorporation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ind w:left="740" w:hanging="286"/>
        <w:spacing w:after="0"/>
        <w:tabs>
          <w:tab w:leader="none" w:pos="7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which is vested in the exclusive jurisdiction of a court or forum other than the Court of Chancery,</w:t>
      </w:r>
    </w:p>
    <w:p>
      <w:pPr>
        <w:ind w:left="460" w:right="459" w:hanging="6"/>
        <w:spacing w:after="0" w:line="236" w:lineRule="auto"/>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which the Court of Chancery does not have subject matter jurisdiction, or (D) any action arising under the Securities Act,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our directors and officers, although our stockholders will not be deemed to have waived our compliance with federal securities laws and the rules and regulations thereunder.</w:t>
      </w:r>
    </w:p>
    <w:p>
      <w:pPr>
        <w:spacing w:after="0" w:line="125"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Notwithstanding the foregoing, our amended and restated certificate of incorporation will provide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166"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 by our Chief Executive Officer or by our Chairman.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66" w:lineRule="exact"/>
        <w:rPr>
          <w:sz w:val="20"/>
          <w:szCs w:val="20"/>
          <w:color w:val="auto"/>
        </w:rPr>
      </w:pPr>
    </w:p>
    <w:p>
      <w:pPr>
        <w:ind w:left="460" w:right="499"/>
        <w:spacing w:after="0" w:line="233"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received by the company secretary at our principal executive offices not later than the close of business on the 90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nor earlier than the opening of business on the 120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prior to the anniversary date of the immediately preceding annual meeting of stockholders. Pursuant to Rule 14a-8 of the Exchange Act, proposals seeking inclusion in our annual proxy statement must comply with the notice periods contained therein.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53" w:lineRule="exact"/>
        <w:rPr>
          <w:sz w:val="20"/>
          <w:szCs w:val="20"/>
          <w:color w:val="auto"/>
        </w:rPr>
      </w:pPr>
    </w:p>
    <w:p>
      <w:pPr>
        <w:ind w:left="460" w:right="599"/>
        <w:spacing w:after="0" w:line="238"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 other than with respect to our Class B common stock.</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Our board of directors will initially be divided into three classes, Class I, Class II and Class III, with members of each class serving staggered three-year terms. Our amended and restated certificate of incorporation will provide that the authorized number of directors may be changed only by resolution of the board of directors.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Any vacancy on our board of directors, including a vacancy resulting from an enlargement of our board of directors, may be filled only by vote of a majority of our directors then in office.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b w:val="1"/>
          <w:bCs w:val="1"/>
          <w:i w:val="1"/>
          <w:iCs w:val="1"/>
          <w:color w:val="auto"/>
        </w:rPr>
        <w:t>Class B Common Stock Consent Right</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For so long as any shares of Class B common stock remain outstanding, we may not, without the prior vote or written consent of the holders of a majority of the shares of Class B common stock then outstanding, voting separately as a single class, amend, alter or repeal any provision of our certificate of incorporation, whether by merger, consolidation or otherwise, if such amendment, alteration or repeal would alter or change the powers, preferences or relative, participating, optional or other or special rights of the Class B common stock. Any action required or permitted to be taken at any meeting of the holders of Class B common stock may be taken without a meeting, without prior notice and without a vote, if a consent or consents in writing, setting forth the action so taken, shall be signed by the holders of the outstanding Class B common stock having not less than the minimum number of votes that would be necessary to authorize or take such action at a meeting at which all shares of Class B common stock were present and voted.</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Immediately after this offering we will have 12,500,000 (or 14,375,000 if the underwriters’ over-allotment option is exercised in full) shares of common stock outstanding. Of these shares, the shares of Class A common stock sold in this offering (10,000,000 Class A common stock if the underwriters’ over-allotment option is not exercised and 11,500,000 shares if the underwriters’ over-allotment option is exercised in full) will be freely tradable without restriction or further registration under the Securities Act, except for any Class A common stock purchased by one of our affiliates within the meaning of Rule 144 under the Securities Act. All of the outstanding founder shares (2,500,000 founder shares if the underwriters’ over-allotment option is not exercised and 2,875,000 founder shares if the underwriters’ over-allotment option is exercised in full) and all of the outstanding private placement warrants (2,666,667 warrants if the underwriters’ over-allotment option is not exercised and 2,866,667 warrants if the underwriters’ over-allotment option is exercised in full) will be restricted securities under Rule 144, in that they were issued in private transactions not involving a public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Rule 144</w:t>
      </w:r>
    </w:p>
    <w:p>
      <w:pPr>
        <w:spacing w:after="0" w:line="166"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127" w:lineRule="exact"/>
        <w:rPr>
          <w:sz w:val="20"/>
          <w:szCs w:val="20"/>
          <w:color w:val="auto"/>
        </w:rPr>
      </w:pPr>
    </w:p>
    <w:p>
      <w:pPr>
        <w:ind w:left="460" w:right="759"/>
        <w:spacing w:after="0" w:line="238"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6" w:lineRule="exact"/>
        <w:rPr>
          <w:sz w:val="20"/>
          <w:szCs w:val="20"/>
          <w:color w:val="auto"/>
        </w:rPr>
      </w:pPr>
    </w:p>
    <w:p>
      <w:pPr>
        <w:jc w:val="both"/>
        <w:ind w:left="1100" w:right="479" w:hanging="322"/>
        <w:spacing w:after="0"/>
        <w:tabs>
          <w:tab w:leader="none" w:pos="1039" w:val="left"/>
        </w:tabs>
        <w:numPr>
          <w:ilvl w:val="0"/>
          <w:numId w:val="69"/>
        </w:numPr>
        <w:rPr>
          <w:rFonts w:ascii="Arial" w:cs="Arial" w:eastAsia="Arial" w:hAnsi="Arial"/>
          <w:sz w:val="18"/>
          <w:szCs w:val="18"/>
          <w:color w:val="auto"/>
        </w:rPr>
      </w:pPr>
      <w:r>
        <w:rPr>
          <w:rFonts w:ascii="Arial" w:cs="Arial" w:eastAsia="Arial" w:hAnsi="Arial"/>
          <w:sz w:val="18"/>
          <w:szCs w:val="18"/>
          <w:color w:val="auto"/>
        </w:rPr>
        <w:t>1% of the total number of shares of common stock then outstanding, which will equal 100,000 shares immediately after this offering (or 115,000 if the underwriters exercise in full their over-allotment option); or</w:t>
      </w:r>
    </w:p>
    <w:p>
      <w:pPr>
        <w:spacing w:after="0" w:line="27" w:lineRule="exact"/>
        <w:rPr>
          <w:rFonts w:ascii="Arial" w:cs="Arial" w:eastAsia="Arial" w:hAnsi="Arial"/>
          <w:sz w:val="18"/>
          <w:szCs w:val="18"/>
          <w:color w:val="auto"/>
        </w:rPr>
      </w:pPr>
    </w:p>
    <w:p>
      <w:pPr>
        <w:ind w:left="1100" w:right="899" w:hanging="322"/>
        <w:spacing w:after="0" w:line="274" w:lineRule="auto"/>
        <w:tabs>
          <w:tab w:leader="none" w:pos="1039"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average weekly reported trading volume of the Class A common stock during the four calendar weeks preceding the filing of a notice on Form 144 with respect to the sale.</w:t>
      </w:r>
    </w:p>
    <w:p>
      <w:pPr>
        <w:spacing w:after="0" w:line="107" w:lineRule="exact"/>
        <w:rPr>
          <w:sz w:val="20"/>
          <w:szCs w:val="20"/>
          <w:color w:val="auto"/>
        </w:rPr>
      </w:pPr>
    </w:p>
    <w:p>
      <w:pPr>
        <w:ind w:left="460" w:right="1099"/>
        <w:spacing w:after="0" w:line="246"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153" w:lineRule="exact"/>
        <w:rPr>
          <w:sz w:val="20"/>
          <w:szCs w:val="20"/>
          <w:color w:val="auto"/>
        </w:rPr>
      </w:pPr>
    </w:p>
    <w:p>
      <w:pPr>
        <w:ind w:left="460" w:right="819"/>
        <w:spacing w:after="0" w:line="238"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29" w:lineRule="exact"/>
        <w:rPr>
          <w:sz w:val="20"/>
          <w:szCs w:val="20"/>
          <w:color w:val="auto"/>
        </w:rPr>
      </w:pPr>
    </w:p>
    <w:p>
      <w:pPr>
        <w:ind w:left="1100" w:right="1119" w:hanging="322"/>
        <w:spacing w:after="0" w:line="246" w:lineRule="auto"/>
        <w:tabs>
          <w:tab w:leader="none" w:pos="10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1" w:lineRule="exact"/>
        <w:rPr>
          <w:rFonts w:ascii="Arial" w:cs="Arial" w:eastAsia="Arial" w:hAnsi="Arial"/>
          <w:sz w:val="18"/>
          <w:szCs w:val="18"/>
          <w:color w:val="auto"/>
        </w:rPr>
      </w:pPr>
    </w:p>
    <w:p>
      <w:pPr>
        <w:ind w:left="1100" w:right="739" w:hanging="322"/>
        <w:spacing w:after="0" w:line="246" w:lineRule="auto"/>
        <w:tabs>
          <w:tab w:leader="none" w:pos="103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7" w:name="page128"/>
    <w:bookmarkEnd w:id="127"/>
    <w:p>
      <w:pPr>
        <w:ind w:left="1100" w:right="539" w:hanging="322"/>
        <w:spacing w:after="0"/>
        <w:tabs>
          <w:tab w:leader="none" w:pos="103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3" w:lineRule="exact"/>
        <w:rPr>
          <w:rFonts w:ascii="Arial" w:cs="Arial" w:eastAsia="Arial" w:hAnsi="Arial"/>
          <w:sz w:val="18"/>
          <w:szCs w:val="18"/>
          <w:color w:val="auto"/>
        </w:rPr>
      </w:pPr>
    </w:p>
    <w:p>
      <w:pPr>
        <w:jc w:val="both"/>
        <w:ind w:left="1100" w:right="1219" w:hanging="322"/>
        <w:spacing w:after="0" w:line="274" w:lineRule="auto"/>
        <w:tabs>
          <w:tab w:leader="none" w:pos="1039" w:val="left"/>
        </w:tabs>
        <w:numPr>
          <w:ilvl w:val="0"/>
          <w:numId w:val="71"/>
        </w:numPr>
        <w:rPr>
          <w:rFonts w:ascii="Arial" w:cs="Arial" w:eastAsia="Arial" w:hAnsi="Arial"/>
          <w:sz w:val="17"/>
          <w:szCs w:val="17"/>
          <w:color w:val="auto"/>
        </w:rPr>
      </w:pPr>
      <w:r>
        <w:rPr>
          <w:rFonts w:ascii="Arial" w:cs="Arial" w:eastAsia="Arial" w:hAnsi="Arial"/>
          <w:sz w:val="17"/>
          <w:szCs w:val="17"/>
          <w:color w:val="auto"/>
        </w:rPr>
        <w:t>at least one year has elapsed from the time that the issuer filed current Form 10 type information with the SEC reflecting its status as an entity that is not a shell company.</w:t>
      </w:r>
    </w:p>
    <w:p>
      <w:pPr>
        <w:spacing w:after="0" w:line="107" w:lineRule="exact"/>
        <w:rPr>
          <w:sz w:val="20"/>
          <w:szCs w:val="20"/>
          <w:color w:val="auto"/>
        </w:rPr>
      </w:pPr>
    </w:p>
    <w:p>
      <w:pPr>
        <w:ind w:left="460" w:right="639"/>
        <w:spacing w:after="0"/>
        <w:rPr>
          <w:sz w:val="20"/>
          <w:szCs w:val="20"/>
          <w:color w:val="auto"/>
        </w:rPr>
      </w:pPr>
      <w:r>
        <w:rPr>
          <w:rFonts w:ascii="Arial" w:cs="Arial" w:eastAsia="Arial" w:hAnsi="Arial"/>
          <w:sz w:val="18"/>
          <w:szCs w:val="18"/>
          <w:color w:val="auto"/>
        </w:rPr>
        <w:t>As a result, our initial stockholders will be able to sell their founder shares and private placement warrants, as applicable, pursuant to Rule 144 without registration one year after we have completed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6" w:lineRule="exact"/>
        <w:rPr>
          <w:sz w:val="20"/>
          <w:szCs w:val="20"/>
          <w:color w:val="auto"/>
        </w:rPr>
      </w:pPr>
    </w:p>
    <w:p>
      <w:pPr>
        <w:ind w:left="460" w:right="479"/>
        <w:spacing w:after="0" w:line="248" w:lineRule="auto"/>
        <w:rPr>
          <w:sz w:val="20"/>
          <w:szCs w:val="20"/>
          <w:color w:val="auto"/>
        </w:rPr>
      </w:pPr>
      <w:r>
        <w:rPr>
          <w:rFonts w:ascii="Arial" w:cs="Arial" w:eastAsia="Arial" w:hAnsi="Arial"/>
          <w:sz w:val="17"/>
          <w:szCs w:val="17"/>
          <w:color w:val="auto"/>
        </w:rPr>
        <w:t>The holders of the (i) founder shares, which were issued in a private placement prior to the closing of this offering, (ii) private placement warrants, which will be issued in a private placement simultaneously with the closing of this offering and the shares of Class A common stock underlying such private placement warrants and (iii) private placement warrants that may be issued upon conversion of working capital loans will have registration rights to require us to register a sale of any of our securities held by them pursuant to a registration rights agreement to be signed prior to or on the effective date of this offering. Pursuant to the registration rights agreement and assuming the underwriters exercise their over-allotment option in full and $1.5 million of working capital loans are converted into private placement warrants, we will be obligated to register up to 6,741,667 shares of Class A common stock and 3,866,667 warrants. The number of shares of Class A common stock includes (i) 2,875,000 shares of Class A common stock to be issued upon conversion of the founder shares, (ii) 2,866,667 shares of Class A common stock underlying the private placement warrants and</w:t>
      </w:r>
    </w:p>
    <w:p>
      <w:pPr>
        <w:spacing w:after="0" w:line="6" w:lineRule="exact"/>
        <w:rPr>
          <w:sz w:val="20"/>
          <w:szCs w:val="20"/>
          <w:color w:val="auto"/>
        </w:rPr>
      </w:pPr>
    </w:p>
    <w:p>
      <w:pPr>
        <w:ind w:left="460" w:right="559" w:hanging="6"/>
        <w:spacing w:after="0" w:line="237" w:lineRule="auto"/>
        <w:tabs>
          <w:tab w:leader="none" w:pos="750" w:val="left"/>
        </w:tabs>
        <w:numPr>
          <w:ilvl w:val="0"/>
          <w:numId w:val="72"/>
        </w:numPr>
        <w:rPr>
          <w:rFonts w:ascii="Arial" w:cs="Arial" w:eastAsia="Arial" w:hAnsi="Arial"/>
          <w:sz w:val="18"/>
          <w:szCs w:val="18"/>
          <w:color w:val="auto"/>
        </w:rPr>
      </w:pPr>
      <w:r>
        <w:rPr>
          <w:rFonts w:ascii="Arial" w:cs="Arial" w:eastAsia="Arial" w:hAnsi="Arial"/>
          <w:sz w:val="18"/>
          <w:szCs w:val="18"/>
          <w:color w:val="auto"/>
        </w:rPr>
        <w:t>1,000,000 shares of Class A common stock underlying the private placement warrants issued upon conversion of working capital loans. The number of warrants includes 2,866,667 private placement warrants.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expenses incurred in connection with the filing of any such registration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48" w:lineRule="exact"/>
        <w:rPr>
          <w:sz w:val="20"/>
          <w:szCs w:val="20"/>
          <w:color w:val="auto"/>
        </w:rPr>
      </w:pPr>
    </w:p>
    <w:p>
      <w:pPr>
        <w:ind w:left="460"/>
        <w:spacing w:after="0"/>
        <w:tabs>
          <w:tab w:leader="none" w:pos="6640" w:val="left"/>
        </w:tabs>
        <w:rPr>
          <w:sz w:val="20"/>
          <w:szCs w:val="20"/>
          <w:color w:val="auto"/>
        </w:rPr>
      </w:pPr>
      <w:r>
        <w:rPr>
          <w:rFonts w:ascii="Arial" w:cs="Arial" w:eastAsia="Arial" w:hAnsi="Arial"/>
          <w:sz w:val="18"/>
          <w:szCs w:val="18"/>
          <w:color w:val="auto"/>
        </w:rPr>
        <w:t>We have applied to have our units listed on Nasdaq under the symbol “[</w:t>
      </w:r>
      <w:r>
        <w:rPr>
          <w:sz w:val="20"/>
          <w:szCs w:val="20"/>
          <w:color w:val="auto"/>
        </w:rPr>
        <w:tab/>
      </w:r>
      <w:r>
        <w:rPr>
          <w:rFonts w:ascii="Arial" w:cs="Arial" w:eastAsia="Arial" w:hAnsi="Arial"/>
          <w:sz w:val="17"/>
          <w:szCs w:val="17"/>
          <w:color w:val="auto"/>
        </w:rPr>
        <w:t>]” commencing on or</w:t>
      </w:r>
    </w:p>
    <w:p>
      <w:pPr>
        <w:ind w:left="460" w:right="539"/>
        <w:spacing w:after="0" w:line="248" w:lineRule="auto"/>
        <w:rPr>
          <w:sz w:val="20"/>
          <w:szCs w:val="20"/>
          <w:color w:val="auto"/>
        </w:rPr>
      </w:pPr>
      <w:r>
        <w:rPr>
          <w:rFonts w:ascii="Arial" w:cs="Arial" w:eastAsia="Arial" w:hAnsi="Arial"/>
          <w:sz w:val="17"/>
          <w:szCs w:val="17"/>
          <w:color w:val="auto"/>
        </w:rPr>
        <w:t>promptly after the date of this prospectus. We cannot guarantee that our securities will be approved for listing on Nasdaq. Once the securities comprising the units begin separate trading, we expect that</w:t>
      </w:r>
    </w:p>
    <w:tbl>
      <w:tblPr>
        <w:tblLayout w:type="fixed"/>
        <w:tblInd w:w="460" w:type="dxa"/>
        <w:tblCellMar>
          <w:top w:w="0" w:type="dxa"/>
          <w:left w:w="0" w:type="dxa"/>
          <w:bottom w:w="0" w:type="dxa"/>
          <w:right w:w="0" w:type="dxa"/>
        </w:tblCellMar>
      </w:tblPr>
      <w:tr>
        <w:trPr>
          <w:trHeight w:val="204"/>
        </w:trPr>
        <w:tc>
          <w:tcPr>
            <w:tcW w:w="7020" w:type="dxa"/>
            <w:vAlign w:val="bottom"/>
            <w:gridSpan w:val="2"/>
          </w:tcPr>
          <w:p>
            <w:pPr>
              <w:spacing w:after="0" w:line="203" w:lineRule="exact"/>
              <w:rPr>
                <w:sz w:val="20"/>
                <w:szCs w:val="20"/>
                <w:color w:val="auto"/>
              </w:rPr>
            </w:pPr>
            <w:r>
              <w:rPr>
                <w:rFonts w:ascii="Arial" w:cs="Arial" w:eastAsia="Arial" w:hAnsi="Arial"/>
                <w:sz w:val="18"/>
                <w:szCs w:val="18"/>
                <w:color w:val="auto"/>
              </w:rPr>
              <w:t>the Class A common stock and warrants will be listed on Nasdaq under the symbols “[</w:t>
            </w:r>
          </w:p>
        </w:tc>
        <w:tc>
          <w:tcPr>
            <w:tcW w:w="1080" w:type="dxa"/>
            <w:vAlign w:val="bottom"/>
          </w:tcPr>
          <w:p>
            <w:pPr>
              <w:ind w:left="200"/>
              <w:spacing w:after="0" w:line="203" w:lineRule="exact"/>
              <w:rPr>
                <w:sz w:val="20"/>
                <w:szCs w:val="20"/>
                <w:color w:val="auto"/>
              </w:rPr>
            </w:pPr>
            <w:r>
              <w:rPr>
                <w:rFonts w:ascii="Arial" w:cs="Arial" w:eastAsia="Arial" w:hAnsi="Arial"/>
                <w:sz w:val="18"/>
                <w:szCs w:val="18"/>
                <w:color w:val="auto"/>
              </w:rPr>
              <w:t>]” and</w:t>
            </w:r>
          </w:p>
        </w:tc>
      </w:tr>
      <w:tr>
        <w:trPr>
          <w:trHeight w:val="217"/>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6660" w:type="dxa"/>
            <w:vAlign w:val="bottom"/>
          </w:tcPr>
          <w:p>
            <w:pPr>
              <w:jc w:val="right"/>
              <w:ind w:right="5130"/>
              <w:spacing w:after="0"/>
              <w:rPr>
                <w:sz w:val="20"/>
                <w:szCs w:val="20"/>
                <w:color w:val="auto"/>
              </w:rPr>
            </w:pPr>
            <w:r>
              <w:rPr>
                <w:rFonts w:ascii="Arial" w:cs="Arial" w:eastAsia="Arial" w:hAnsi="Arial"/>
                <w:sz w:val="18"/>
                <w:szCs w:val="18"/>
                <w:color w:val="auto"/>
              </w:rPr>
              <w:t>],” respectively.</w:t>
            </w:r>
          </w:p>
        </w:tc>
        <w:tc>
          <w:tcPr>
            <w:tcW w:w="1080" w:type="dxa"/>
            <w:vAlign w:val="bottom"/>
          </w:tcPr>
          <w:p>
            <w:pPr>
              <w:spacing w:after="0"/>
              <w:rPr>
                <w:sz w:val="18"/>
                <w:szCs w:val="18"/>
                <w:color w:val="auto"/>
              </w:rPr>
            </w:pPr>
          </w:p>
        </w:tc>
      </w:tr>
      <w:tr>
        <w:trPr>
          <w:trHeight w:val="378"/>
        </w:trPr>
        <w:tc>
          <w:tcPr>
            <w:tcW w:w="36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jc w:val="right"/>
              <w:ind w:right="2730"/>
              <w:spacing w:after="0"/>
              <w:rPr>
                <w:sz w:val="20"/>
                <w:szCs w:val="20"/>
                <w:color w:val="auto"/>
              </w:rPr>
            </w:pPr>
            <w:r>
              <w:rPr>
                <w:rFonts w:ascii="Arial" w:cs="Arial" w:eastAsia="Arial" w:hAnsi="Arial"/>
                <w:sz w:val="18"/>
                <w:szCs w:val="18"/>
                <w:color w:val="auto"/>
              </w:rPr>
              <w:t>124</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79" w:right="1440" w:bottom="1440" w:gutter="0" w:footer="0" w:header="0"/>
        </w:sectPr>
      </w:pPr>
    </w:p>
    <w:bookmarkStart w:id="128" w:name="page129"/>
    <w:bookmarkEnd w:id="128"/>
    <w:p>
      <w:pPr>
        <w:jc w:val="center"/>
        <w:ind w:right="19"/>
        <w:spacing w:after="0"/>
        <w:rPr>
          <w:sz w:val="20"/>
          <w:szCs w:val="20"/>
          <w:color w:val="auto"/>
        </w:rPr>
      </w:pPr>
      <w:r>
        <w:rPr>
          <w:rFonts w:ascii="Arial" w:cs="Arial" w:eastAsia="Arial" w:hAnsi="Arial"/>
          <w:sz w:val="18"/>
          <w:szCs w:val="18"/>
          <w:b w:val="1"/>
          <w:bCs w:val="1"/>
          <w:color w:val="auto"/>
        </w:rPr>
        <w:t>U.S. FEDERAL INCOME TAX CONSIDERATIONS</w:t>
      </w:r>
    </w:p>
    <w:p>
      <w:pPr>
        <w:spacing w:after="0" w:line="166"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units, shares of Class A common stock and warrants, which we refer to collectively as our securities. Because the components of a unit are separable at the option of the holder, the holder of a unit generally should be treated, for U.S. federal income tax purposes, as the owner of the underlying Class A common stock and one-third of one redeemable warrant components of the unit, as the case may be. As a result, the discussion below with respect to actual holders of Class A common stock and warrants should also apply to holders of units (as the deemed owners of the underlying Class A common stock and warrants that comprise the units). This discussion applies only to securities that are held as capital assets for U.S. federal income tax purposes and is applicable only to holders who purchased units in this offering.</w:t>
      </w:r>
    </w:p>
    <w:p>
      <w:pPr>
        <w:spacing w:after="0" w:line="12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27" w:lineRule="exact"/>
        <w:rPr>
          <w:sz w:val="20"/>
          <w:szCs w:val="20"/>
          <w:color w:val="auto"/>
        </w:rPr>
      </w:pPr>
    </w:p>
    <w:p>
      <w:pPr>
        <w:ind w:left="1040" w:hanging="262"/>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expatriates or former long-term residents of the U.S.;</w:t>
      </w:r>
    </w:p>
    <w:p>
      <w:pPr>
        <w:spacing w:after="0" w:line="36" w:lineRule="exact"/>
        <w:rPr>
          <w:rFonts w:ascii="Arial" w:cs="Arial" w:eastAsia="Arial" w:hAnsi="Arial"/>
          <w:sz w:val="18"/>
          <w:szCs w:val="18"/>
          <w:color w:val="auto"/>
        </w:rPr>
      </w:pPr>
    </w:p>
    <w:p>
      <w:pPr>
        <w:ind w:left="1100" w:right="999" w:hanging="322"/>
        <w:spacing w:after="0" w:line="246" w:lineRule="auto"/>
        <w:tabs>
          <w:tab w:leader="none" w:pos="10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(by vote or value) of our shares;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 w:lineRule="exact"/>
        <w:rPr>
          <w:rFonts w:ascii="Arial" w:cs="Arial" w:eastAsia="Arial" w:hAnsi="Arial"/>
          <w:sz w:val="18"/>
          <w:szCs w:val="18"/>
          <w:color w:val="auto"/>
        </w:rPr>
      </w:pPr>
    </w:p>
    <w:p>
      <w:pPr>
        <w:ind w:left="1100" w:right="1039" w:hanging="322"/>
        <w:spacing w:after="0" w:line="246" w:lineRule="auto"/>
        <w:tabs>
          <w:tab w:leader="none" w:pos="10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21" w:lineRule="exact"/>
        <w:rPr>
          <w:rFonts w:ascii="Arial" w:cs="Arial" w:eastAsia="Arial" w:hAnsi="Arial"/>
          <w:sz w:val="18"/>
          <w:szCs w:val="18"/>
          <w:color w:val="auto"/>
        </w:rPr>
      </w:pPr>
    </w:p>
    <w:p>
      <w:pPr>
        <w:ind w:left="1100" w:right="619" w:hanging="322"/>
        <w:spacing w:after="0" w:line="246" w:lineRule="auto"/>
        <w:tabs>
          <w:tab w:leader="none" w:pos="10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constructive sale, hedge, conversion or other integrated transaction or similar transaction;</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 w:lineRule="exact"/>
        <w:rPr>
          <w:rFonts w:ascii="Arial" w:cs="Arial" w:eastAsia="Arial" w:hAnsi="Arial"/>
          <w:sz w:val="18"/>
          <w:szCs w:val="18"/>
          <w:color w:val="auto"/>
        </w:rPr>
      </w:pPr>
    </w:p>
    <w:p>
      <w:pPr>
        <w:ind w:left="1100" w:right="939" w:hanging="322"/>
        <w:spacing w:after="0" w:line="246" w:lineRule="auto"/>
        <w:tabs>
          <w:tab w:leader="none" w:pos="1039"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controlled foreign corporations; and.</w:t>
      </w:r>
    </w:p>
    <w:p>
      <w:pPr>
        <w:spacing w:after="0" w:line="22" w:lineRule="exact"/>
        <w:rPr>
          <w:rFonts w:ascii="Arial" w:cs="Arial" w:eastAsia="Arial" w:hAnsi="Arial"/>
          <w:sz w:val="18"/>
          <w:szCs w:val="18"/>
          <w:color w:val="auto"/>
        </w:rPr>
      </w:pPr>
    </w:p>
    <w:p>
      <w:pPr>
        <w:ind w:left="1040" w:hanging="262"/>
        <w:spacing w:after="0"/>
        <w:tabs>
          <w:tab w:leader="none" w:pos="10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4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securities,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securities, you are urged to consult your tax advisor regarding the tax consequences of the acquisition, ownership and disposition of our securities.</w:t>
      </w:r>
    </w:p>
    <w:p>
      <w:pPr>
        <w:spacing w:after="0" w:line="122"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37"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We have not sought, and do not expect to seek, a ruling from the Internal Revenue Service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29" w:name="page130"/>
    <w:bookmarkEnd w:id="129"/>
    <w:p>
      <w:pPr>
        <w:ind w:left="460"/>
        <w:spacing w:after="0"/>
        <w:rPr>
          <w:sz w:val="20"/>
          <w:szCs w:val="20"/>
          <w:color w:val="auto"/>
        </w:rPr>
      </w:pPr>
      <w:r>
        <w:rPr>
          <w:rFonts w:ascii="Arial" w:cs="Arial" w:eastAsia="Arial" w:hAnsi="Arial"/>
          <w:sz w:val="18"/>
          <w:szCs w:val="18"/>
          <w:b w:val="1"/>
          <w:bCs w:val="1"/>
          <w:color w:val="auto"/>
        </w:rPr>
        <w:t>Personal Holding Company Status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We could be subject to a second level of U.S. federal income tax on a portion of our income if we are determined to be a personal holding company, or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24"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At least 60% of our adjusted ordinary gross income may consist of PHC income, depending on the date and size of our initial business combination. In addition, depending on the concentration of our stock in the hands of individuals, including the members of our sponsor and certain tax-exempt organizations, pension funds and charitable trusts, more than 50% of our stock may be owned or deemed owned (pursuant to the constructive ownership rules) by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16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common stock and one-third of one warrant to acquire one share of our Class A common stock. For U.S. federal income tax purposes, each holder of a unit must allocate the purchase price paid by such holder for such unit between the one share of Class A common stock and the one-third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share of Class A common stock and the one-third of one warrant should be the stockholder’s tax basis in such share or warrant, as the case may be. Any disposition of a unit should be treated for U.S. federal income tax purposes as a disposition of the share of Class A common stock and one-third of one warrant comprising the unit, and the amount realized on the disposition should be allocated between the Class A common stock and the one-third of one warrant based on their respective relative fair market values (as determined by each such unit holder on all the relevant facts and circumstances) at the time of disposition. The separation of shares of Class A common stock and warrants comprising units and the combination of thirds of warrants into a single warrant should not be a taxable event for U.S. federal income tax purposes.</w:t>
      </w:r>
    </w:p>
    <w:p>
      <w:pPr>
        <w:spacing w:after="0" w:line="145"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foregoing treatment of the shares of Class A common stock and warrants and a holder’s purchase price allocation are not binding on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 Holders</w:t>
      </w:r>
    </w:p>
    <w:p>
      <w:pPr>
        <w:spacing w:after="0" w:line="153" w:lineRule="exact"/>
        <w:rPr>
          <w:sz w:val="20"/>
          <w:szCs w:val="20"/>
          <w:color w:val="auto"/>
        </w:rPr>
      </w:pPr>
    </w:p>
    <w:p>
      <w:pPr>
        <w:ind w:left="460" w:right="599"/>
        <w:spacing w:after="0" w:line="273" w:lineRule="auto"/>
        <w:rPr>
          <w:sz w:val="20"/>
          <w:szCs w:val="20"/>
          <w:color w:val="auto"/>
        </w:rPr>
      </w:pPr>
      <w:r>
        <w:rPr>
          <w:rFonts w:ascii="Arial" w:cs="Arial" w:eastAsia="Arial" w:hAnsi="Arial"/>
          <w:sz w:val="17"/>
          <w:szCs w:val="17"/>
          <w:color w:val="auto"/>
        </w:rPr>
        <w:t>This section applies to you if you are a “U.S. holder.” A U.S. holder is a beneficial owner of our units, shares of Class A common stock or warrants who or that is, for U.S. federal income tax purposes:</w:t>
      </w:r>
    </w:p>
    <w:p>
      <w:pPr>
        <w:spacing w:after="0" w:line="1" w:lineRule="exact"/>
        <w:rPr>
          <w:sz w:val="20"/>
          <w:szCs w:val="20"/>
          <w:color w:val="auto"/>
        </w:rPr>
      </w:pPr>
    </w:p>
    <w:p>
      <w:pPr>
        <w:ind w:left="1040" w:hanging="262"/>
        <w:spacing w:after="0"/>
        <w:tabs>
          <w:tab w:leader="none" w:pos="10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36" w:lineRule="exact"/>
        <w:rPr>
          <w:rFonts w:ascii="Arial" w:cs="Arial" w:eastAsia="Arial" w:hAnsi="Arial"/>
          <w:sz w:val="18"/>
          <w:szCs w:val="18"/>
          <w:color w:val="auto"/>
        </w:rPr>
      </w:pPr>
    </w:p>
    <w:p>
      <w:pPr>
        <w:ind w:left="1100" w:right="719" w:hanging="322"/>
        <w:spacing w:after="0" w:line="246" w:lineRule="auto"/>
        <w:tabs>
          <w:tab w:leader="none" w:pos="103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 or</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0" w:name="page131"/>
    <w:bookmarkEnd w:id="130"/>
    <w:p>
      <w:pPr>
        <w:ind w:left="1100" w:right="1119" w:hanging="322"/>
        <w:spacing w:after="0" w:line="246" w:lineRule="auto"/>
        <w:tabs>
          <w:tab w:leader="none" w:pos="103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7" w:lineRule="exact"/>
        <w:rPr>
          <w:rFonts w:ascii="Arial" w:cs="Arial" w:eastAsia="Arial" w:hAnsi="Arial"/>
          <w:sz w:val="18"/>
          <w:szCs w:val="18"/>
          <w:color w:val="auto"/>
        </w:rPr>
      </w:pPr>
    </w:p>
    <w:p>
      <w:pPr>
        <w:ind w:left="1100" w:right="739" w:hanging="322"/>
        <w:spacing w:after="0" w:line="238" w:lineRule="auto"/>
        <w:tabs>
          <w:tab w:leader="none" w:pos="1039"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19"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If we pay distributions in cash or other property (other than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 — Gain or Loss on Sale, Taxable Exchange or Other Taxable Disposition of Class A Common Stock and Warrants” below.</w:t>
      </w:r>
    </w:p>
    <w:p>
      <w:pPr>
        <w:spacing w:after="0" w:line="139"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It is unclear whether the redemption rights with respect to the Class A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04"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i w:val="1"/>
          <w:iCs w:val="1"/>
          <w:color w:val="auto"/>
        </w:rPr>
        <w:t xml:space="preserve">Gain or Loss on Sale, Taxable Exchange or Other Taxable Disposition of Class A Common Stock and Warrants. </w:t>
      </w:r>
      <w:r>
        <w:rPr>
          <w:rFonts w:ascii="Arial" w:cs="Arial" w:eastAsia="Arial" w:hAnsi="Arial"/>
          <w:sz w:val="18"/>
          <w:szCs w:val="18"/>
          <w:color w:val="auto"/>
        </w:rPr>
        <w:t>Upon a sale or other taxable disposition of our Class A common stock or warrants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 general, would include a redemption of Class A common stock or warrants that is treated as a sale of such securities as described below,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Class A common stock or warrants. Any such capital gain or loss generally will be long-term capital gain or loss if the U.S. holder’s holding period for the Class A common stock or warrants so disposed of exceeds one year. It is unclear, however, whether the redemption rights with respect to the Class A common stock described in this prospectus may suspend the running of the applicable holding period for this purpose. If the running of the holding period for the Class A common stock is suspended, then non-corporate U.S. holders may not be able to satisfy the one-year holding period requirement for long-term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may be eligible to be taxed at reduced rates. The deductibility of capital losses is subject to limitations.</w:t>
      </w:r>
    </w:p>
    <w:p>
      <w:pPr>
        <w:spacing w:after="0" w:line="13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(or, if the Class A common stock or warrants are held as part of units at the time of the disposition, the portion of the amount realized on such disposition that is allocated to the Class A common stock or the warrants based upon the then fair market values of the Class A common stock and the warrants included in the units) and (ii) the U.S. holder’s adjusted tax basis in its Class A common stock or warrants so disposed of. A U.S. holder’s adjusted tax basis in its Class A common stock or warrants generally will equal the U.S. holder’s acquisition cost (that is, as discussed above, the portion of the purchase price of a unit allocated to a share of Class A common stock or one-third of one warrant or, as discussed below, the U.S. holder’s initial basis for Class A common stock received upon exercise of warrants) less, in the case of a share of Class A common stock, any prior distributions treated as a return of capital.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31" w:name="page132"/>
    <w:bookmarkEnd w:id="131"/>
    <w:p>
      <w:pPr>
        <w:ind w:left="460" w:right="539"/>
        <w:spacing w:after="0" w:line="236" w:lineRule="auto"/>
        <w:rPr>
          <w:sz w:val="20"/>
          <w:szCs w:val="20"/>
          <w:color w:val="auto"/>
        </w:rPr>
      </w:pPr>
      <w:r>
        <w:rPr>
          <w:rFonts w:ascii="Arial" w:cs="Arial" w:eastAsia="Arial" w:hAnsi="Arial"/>
          <w:sz w:val="18"/>
          <w:szCs w:val="18"/>
          <w:i w:val="1"/>
          <w:iCs w:val="1"/>
          <w:color w:val="auto"/>
        </w:rPr>
        <w:t xml:space="preserve">Redemption of Class A Common Stock. </w:t>
      </w:r>
      <w:r>
        <w:rPr>
          <w:rFonts w:ascii="Arial" w:cs="Arial" w:eastAsia="Arial" w:hAnsi="Arial"/>
          <w:sz w:val="18"/>
          <w:szCs w:val="18"/>
          <w:color w:val="auto"/>
        </w:rPr>
        <w:t>In the event that a U.S. holder’s Class A common stock is</w:t>
      </w:r>
      <w:r>
        <w:rPr>
          <w:rFonts w:ascii="Arial" w:cs="Arial" w:eastAsia="Arial" w:hAnsi="Arial"/>
          <w:sz w:val="18"/>
          <w:szCs w:val="18"/>
          <w:i w:val="1"/>
          <w:iCs w:val="1"/>
          <w:color w:val="auto"/>
        </w:rPr>
        <w:t xml:space="preserve"> </w:t>
      </w:r>
      <w:r>
        <w:rPr>
          <w:rFonts w:ascii="Arial" w:cs="Arial" w:eastAsia="Arial" w:hAnsi="Arial"/>
          <w:sz w:val="18"/>
          <w:szCs w:val="18"/>
          <w:color w:val="auto"/>
        </w:rPr>
        <w:t>redeemed pursuant to the redemption provisions described in this prospectus under the section of this prospectus entitled “Description of Securities — Common Stock” or if we purchase a U.S. holder’s Class A common stock in an open market transaction, the treatment of the transaction for U.S. federal income tax purposes will depend on whether the redemption or purchase by us qualifies as a sale of the Class A common stock under Section 302 of the Code. If the redemption or purchase by us qualifies as a sale of common stock, the U.S. holder will be treated as described under “U.S. Holders — Gain or Loss on Sale, Taxable Exchange or Other Taxable Disposition of Class A Common Stock and Warrants” above. If the redemption or purchase by us does not qualify as a sale of common stock, the U.S. holder will be treated as receiving a corporate distribution with the tax consequences described above under “U.S. Holders — Taxation of Distributions”. Whether a redemption or purchase by us qualifies for sale treatment will depend largely on the total number of shares of our stock treated as held by the U.S. holder (including any stock constructively owned by the U.S. holder as a result of owning warrants) relative to all of our shares outstanding both before and after the redemption or purchase by us. The redemption or purchase by us of Class A common stock generally will be treated as a sale of the Class A common stock (rather than as a corporate distribution) if the redemption or purchase by us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32" w:lineRule="exact"/>
        <w:rPr>
          <w:sz w:val="20"/>
          <w:szCs w:val="20"/>
          <w:color w:val="auto"/>
        </w:rPr>
      </w:pPr>
    </w:p>
    <w:p>
      <w:pPr>
        <w:ind w:left="460" w:right="519"/>
        <w:spacing w:after="0" w:line="235" w:lineRule="auto"/>
        <w:rPr>
          <w:sz w:val="20"/>
          <w:szCs w:val="20"/>
          <w:color w:val="auto"/>
        </w:rPr>
      </w:pPr>
      <w:r>
        <w:rPr>
          <w:rFonts w:ascii="Arial" w:cs="Arial" w:eastAsia="Arial" w:hAnsi="Arial"/>
          <w:sz w:val="18"/>
          <w:szCs w:val="18"/>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Class A common stock which could be acquired pursuant to the exercise of the warrants. In order to meet the substantially disproportionate test, the percentage of our outstanding voting stock actually and constructively owned by the U.S. holder immediately following the redemption of Class A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The redemption of the Class A common stock will not be essentially equivalent to a dividend if a U.S. holder’s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45"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Class A common stock will be added to the U.S. holder’s adjusted tax basis in its remaining stock, or, if it has none, to the U.S. holder’s adjusted tax basis in its warrants or possibly in other stock constructively owned by it.</w:t>
      </w:r>
    </w:p>
    <w:p>
      <w:pPr>
        <w:spacing w:after="0" w:line="119"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i w:val="1"/>
          <w:iCs w:val="1"/>
          <w:color w:val="auto"/>
        </w:rPr>
        <w:t xml:space="preserve">Exercise, Lapse or Redemption of a Warrant. </w:t>
      </w:r>
      <w:r>
        <w:rPr>
          <w:rFonts w:ascii="Arial" w:cs="Arial" w:eastAsia="Arial" w:hAnsi="Arial"/>
          <w:sz w:val="18"/>
          <w:szCs w:val="18"/>
          <w:color w:val="auto"/>
        </w:rPr>
        <w:t>Except as discussed below with respect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cashless exercise of a warrant, a U.S. holder generally will not recognize taxable gain or loss on the acquisition of common stock upon exercise of a warrant for cash. The U.S. holder’s tax basis in the share of our Class A common stock received upon exercise of the warrant generally will be an amount equal to the sum of the U.S. holder’s initial investment in the warrant (i.e., the portion of the U.S. holder’s purchase price for units that is allocated to the warrant, as described above under “— Allocation of Purchase Price and Characterization of a Unit”) and the exercise price. It is unclear whether the U.S. holder’s holding period for the Class A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132" w:name="page133"/>
    <w:bookmarkEnd w:id="132"/>
    <w:p>
      <w:pPr>
        <w:ind w:left="460" w:right="499"/>
        <w:spacing w:after="0" w:line="236" w:lineRule="auto"/>
        <w:rPr>
          <w:sz w:val="20"/>
          <w:szCs w:val="20"/>
          <w:color w:val="auto"/>
        </w:rPr>
      </w:pPr>
      <w:r>
        <w:rPr>
          <w:rFonts w:ascii="Arial" w:cs="Arial" w:eastAsia="Arial" w:hAnsi="Arial"/>
          <w:sz w:val="18"/>
          <w:szCs w:val="18"/>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basis in the Class A common stock received would equal the holder’s basis in the warrants exercised therefor. If the cashless exercise were treated as not being a realization event, it is unclear whether a U.S. holder’s holding period in the Class A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Class A common stock would include the holding period of the warrants exercised therefor.</w:t>
      </w:r>
    </w:p>
    <w:p>
      <w:pPr>
        <w:spacing w:after="0" w:line="125"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It is also possible that a cashless exercise could be treated as a taxable exchange in which gain or loss would be recognized. In such event, a U.S. holder could be deemed to have surrendered warrants equal to the number of shares of Class A common stock having a value equal to the exercise price for the total number of warrants to be exercised. The U.S. holder would recognize capital gain or loss in an amount equal to the difference between the fair market value of the Class A common stock received in respect of the warrants deemed surrendered and the U.S. holder’s tax basis in the warrants deemed surrendered. In this case, a U.S. holder’s tax basis in the Class A common stock received would equal the sum of the fair market value of the Class A common stock received in respect of the warrants deemed surrendered and the U.S. holder’s tax basis in the warrants exercised. It is unclear whether a U.S. holder’s holding period for the Class A common stock would commence on the date following the date of exercise or on the date of exercise of the warrant; in either case, the holding period would not include the period during which the U.S. holder held the warrant.</w:t>
      </w:r>
    </w:p>
    <w:p>
      <w:pPr>
        <w:spacing w:after="0" w:line="135" w:lineRule="exact"/>
        <w:rPr>
          <w:sz w:val="20"/>
          <w:szCs w:val="20"/>
          <w:color w:val="auto"/>
        </w:rPr>
      </w:pPr>
    </w:p>
    <w:p>
      <w:pPr>
        <w:ind w:left="460" w:right="599"/>
        <w:spacing w:after="0" w:line="255" w:lineRule="auto"/>
        <w:rPr>
          <w:sz w:val="20"/>
          <w:szCs w:val="20"/>
          <w:color w:val="auto"/>
        </w:rPr>
      </w:pPr>
      <w:r>
        <w:rPr>
          <w:rFonts w:ascii="Arial" w:cs="Arial" w:eastAsia="Arial" w:hAnsi="Arial"/>
          <w:sz w:val="17"/>
          <w:szCs w:val="17"/>
          <w:color w:val="auto"/>
        </w:rPr>
        <w:t>Due to the absence of authority on the U.S. federal income tax treatment of a cashless exercise, including when a U.S. holder’s holding period would commence with respect to the Class A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23"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If we redeem warrants for cash pursuant to the redemption provisions described in the section of this prospectus entitled “Description of Securities — Redeemable Warrants — Public Stockholders’ Warrants” or if we purchase warrants in an open market transaction, such redemption or purchase generally will be treated as a taxable disposition to the U.S. holder, taxed as described above under “— Gain or Loss on Sale, Taxable Exchange or Other Taxable Disposition of Class A Common Stock and Warrants.”</w:t>
      </w:r>
    </w:p>
    <w:p>
      <w:pPr>
        <w:spacing w:after="0" w:line="106"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i w:val="1"/>
          <w:iCs w:val="1"/>
          <w:color w:val="auto"/>
        </w:rPr>
        <w:t xml:space="preserve">Possible Constructive Distributions. </w:t>
      </w:r>
      <w:r>
        <w:rPr>
          <w:rFonts w:ascii="Arial" w:cs="Arial" w:eastAsia="Arial" w:hAnsi="Arial"/>
          <w:sz w:val="18"/>
          <w:szCs w:val="18"/>
          <w:color w:val="auto"/>
        </w:rPr>
        <w:t>The terms of each warrant provide for an adjustment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common stock for which the warrant may be exercised or to the exercise price of the warrant in certain events, as discussed in the section of this prospectus entitled “Description of Securities — Redeemable Warrants — Public Stockholders’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 holders’ proportionate interest in our assets or earnings and profits (for example,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Such constructive distribution would be subject to tax as described under that section in the same manner as if the U.S. holders of the warrants received a cash distribution from us equal to the fair market value of such increased interest.</w:t>
      </w:r>
    </w:p>
    <w:p>
      <w:pPr>
        <w:spacing w:after="0" w:line="120" w:lineRule="exact"/>
        <w:rPr>
          <w:sz w:val="20"/>
          <w:szCs w:val="20"/>
          <w:color w:val="auto"/>
        </w:rPr>
      </w:pPr>
    </w:p>
    <w:p>
      <w:pPr>
        <w:ind w:left="460" w:right="559"/>
        <w:spacing w:after="0" w:line="241"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 general, information reporting requirements may</w:t>
      </w:r>
      <w:r>
        <w:rPr>
          <w:rFonts w:ascii="Arial" w:cs="Arial" w:eastAsia="Arial" w:hAnsi="Arial"/>
          <w:sz w:val="18"/>
          <w:szCs w:val="18"/>
          <w:i w:val="1"/>
          <w:iCs w:val="1"/>
          <w:color w:val="auto"/>
        </w:rPr>
        <w:t xml:space="preserve"> </w:t>
      </w:r>
      <w:r>
        <w:rPr>
          <w:rFonts w:ascii="Arial" w:cs="Arial" w:eastAsia="Arial" w:hAnsi="Arial"/>
          <w:sz w:val="18"/>
          <w:szCs w:val="18"/>
          <w:color w:val="auto"/>
        </w:rPr>
        <w:t>apply to dividends paid to a U.S. holder and to the proceeds of the sale or other disposition of our units, shares of Class A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34" w:lineRule="exact"/>
        <w:rPr>
          <w:sz w:val="20"/>
          <w:szCs w:val="20"/>
          <w:color w:val="auto"/>
        </w:rPr>
      </w:pPr>
    </w:p>
    <w:p>
      <w:pPr>
        <w:ind w:left="460" w:right="859"/>
        <w:spacing w:after="0"/>
        <w:rPr>
          <w:sz w:val="20"/>
          <w:szCs w:val="20"/>
          <w:color w:val="auto"/>
        </w:rPr>
      </w:pPr>
      <w:r>
        <w:rPr>
          <w:rFonts w:ascii="Arial" w:cs="Arial" w:eastAsia="Arial" w:hAnsi="Arial"/>
          <w:sz w:val="18"/>
          <w:szCs w:val="18"/>
          <w:color w:val="auto"/>
        </w:rPr>
        <w:t>Any amounts withheld under the backup withholding rules will be allowed as a refund or a credit against a U.S. holder’s U.S. federal income tax liability provided the required information is timely furnished to the IRS.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b w:val="1"/>
          <w:bCs w:val="1"/>
          <w:color w:val="auto"/>
        </w:rPr>
        <w:t>Non-U.S. Holders</w:t>
      </w:r>
    </w:p>
    <w:p>
      <w:pPr>
        <w:spacing w:after="0" w:line="166" w:lineRule="exact"/>
        <w:rPr>
          <w:sz w:val="20"/>
          <w:szCs w:val="20"/>
          <w:color w:val="auto"/>
        </w:rPr>
      </w:pPr>
    </w:p>
    <w:p>
      <w:pPr>
        <w:ind w:left="460" w:right="539"/>
        <w:spacing w:after="0"/>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common stock or warrants who or that is for U.S. federal income tax purposes:</w:t>
      </w:r>
    </w:p>
    <w:p>
      <w:pPr>
        <w:spacing w:after="0" w:line="14" w:lineRule="exact"/>
        <w:rPr>
          <w:sz w:val="20"/>
          <w:szCs w:val="20"/>
          <w:color w:val="auto"/>
        </w:rPr>
      </w:pPr>
    </w:p>
    <w:p>
      <w:pPr>
        <w:ind w:left="1100" w:right="839" w:hanging="322"/>
        <w:spacing w:after="0" w:line="246" w:lineRule="auto"/>
        <w:tabs>
          <w:tab w:leader="none" w:pos="1039"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21" w:lineRule="exact"/>
        <w:rPr>
          <w:rFonts w:ascii="Arial" w:cs="Arial" w:eastAsia="Arial" w:hAnsi="Arial"/>
          <w:sz w:val="18"/>
          <w:szCs w:val="18"/>
          <w:color w:val="auto"/>
        </w:rPr>
      </w:pPr>
    </w:p>
    <w:p>
      <w:pPr>
        <w:ind w:left="1040" w:hanging="262"/>
        <w:spacing w:after="0"/>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31" w:lineRule="exact"/>
        <w:rPr>
          <w:sz w:val="20"/>
          <w:szCs w:val="20"/>
          <w:color w:val="auto"/>
        </w:rPr>
      </w:pPr>
    </w:p>
    <w:p>
      <w:pPr>
        <w:ind w:left="460" w:right="799"/>
        <w:spacing w:after="0" w:line="238" w:lineRule="auto"/>
        <w:rPr>
          <w:sz w:val="20"/>
          <w:szCs w:val="20"/>
          <w:color w:val="auto"/>
        </w:rPr>
      </w:pPr>
      <w:r>
        <w:rPr>
          <w:rFonts w:ascii="Arial" w:cs="Arial" w:eastAsia="Arial" w:hAnsi="Arial"/>
          <w:sz w:val="18"/>
          <w:szCs w:val="18"/>
          <w:color w:val="auto"/>
        </w:rPr>
        <w:t>but generally does not include an individual who is present in the U.S.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1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i w:val="1"/>
          <w:iCs w:val="1"/>
          <w:color w:val="auto"/>
        </w:rPr>
        <w:t xml:space="preserve">Taxation of Distributions. </w:t>
      </w:r>
      <w:r>
        <w:rPr>
          <w:rFonts w:ascii="Arial" w:cs="Arial" w:eastAsia="Arial" w:hAnsi="Arial"/>
          <w:sz w:val="18"/>
          <w:szCs w:val="18"/>
          <w:color w:val="auto"/>
        </w:rPr>
        <w:t>In general, any distributions (including constructive distributions) we make</w:t>
      </w:r>
      <w:r>
        <w:rPr>
          <w:rFonts w:ascii="Arial" w:cs="Arial" w:eastAsia="Arial" w:hAnsi="Arial"/>
          <w:sz w:val="18"/>
          <w:szCs w:val="18"/>
          <w:i w:val="1"/>
          <w:iCs w:val="1"/>
          <w:color w:val="auto"/>
        </w:rPr>
        <w:t xml:space="preserve"> </w:t>
      </w:r>
      <w:r>
        <w:rPr>
          <w:rFonts w:ascii="Arial" w:cs="Arial" w:eastAsia="Arial" w:hAnsi="Arial"/>
          <w:sz w:val="18"/>
          <w:szCs w:val="18"/>
          <w:color w:val="auto"/>
        </w:rPr>
        <w:t>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w:t>
      </w:r>
    </w:p>
    <w:p>
      <w:pPr>
        <w:spacing w:after="0" w:line="4"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 — Gain on Sale, Taxable Exchange or Other Taxable Disposition of Class A Common Stock and Warrants” below. In addition, if we determine that we are likely to be classified as a “U.S. real property holding corporation” (see “Non-U.S. Holders — Gain on Sale, Taxable Exchange or Other Taxable Disposition of Class A Common Stock and Warrants” below), we will withhold 15% of any distribution that exceeds our current and accumulated earnings and profits.</w:t>
      </w:r>
    </w:p>
    <w:p>
      <w:pPr>
        <w:spacing w:after="0" w:line="14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04" w:lineRule="exact"/>
        <w:rPr>
          <w:sz w:val="20"/>
          <w:szCs w:val="20"/>
          <w:color w:val="auto"/>
        </w:rPr>
      </w:pPr>
    </w:p>
    <w:p>
      <w:pPr>
        <w:ind w:left="460" w:right="479"/>
        <w:spacing w:after="0"/>
        <w:rPr>
          <w:sz w:val="20"/>
          <w:szCs w:val="20"/>
          <w:color w:val="auto"/>
        </w:rPr>
      </w:pPr>
      <w:r>
        <w:rPr>
          <w:rFonts w:ascii="Arial" w:cs="Arial" w:eastAsia="Arial" w:hAnsi="Arial"/>
          <w:sz w:val="18"/>
          <w:szCs w:val="18"/>
          <w:i w:val="1"/>
          <w:iCs w:val="1"/>
          <w:color w:val="auto"/>
        </w:rPr>
        <w:t xml:space="preserve">Exercise, Lapse or Redemption of a Warrant. </w:t>
      </w:r>
      <w:r>
        <w:rPr>
          <w:rFonts w:ascii="Arial" w:cs="Arial" w:eastAsia="Arial" w:hAnsi="Arial"/>
          <w:sz w:val="18"/>
          <w:szCs w:val="18"/>
          <w:color w:val="auto"/>
        </w:rPr>
        <w:t>The U.S. federal income tax treatment of a Non-U.S.</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exercise of a warrant, or the lapse of a warrant held by a Non-U.S. holder, generally will correspond to the U.S. federal income tax treatment of the exercise or lapse of a warrant by a U.S. holder, as described under “U.S. holders — Exercise or Lapse of a Warrant” above, although to the extent a cashless exercise results in a taxable exchange, the consequences would be similar to those described below in “Non-U.S. Holders — Gain on Sale, Taxable Exchange or Other Taxable Disposition of Class A Common Stock and Warrants.”</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characterization for U.S. federal income tax purposes of the redemption of the Non-U.S. holder’s warrants will generally correspond to the U.S. federal income tax treatment of such a redemption of a U.S. holder’s warrants, as described under “U.S. Holders — Exercise, Lapse, or Redemption of a Warrant” above, and the consequences of the redemption to the Non-U.S. holder will be as described under the heading “Non-U.S. Holders” based on such characterization.</w:t>
      </w:r>
    </w:p>
    <w:p>
      <w:pPr>
        <w:spacing w:after="0" w:line="117" w:lineRule="exact"/>
        <w:rPr>
          <w:sz w:val="20"/>
          <w:szCs w:val="20"/>
          <w:color w:val="auto"/>
        </w:rPr>
      </w:pPr>
    </w:p>
    <w:p>
      <w:pPr>
        <w:ind w:left="460" w:right="599"/>
        <w:spacing w:after="0" w:line="242" w:lineRule="auto"/>
        <w:rPr>
          <w:sz w:val="20"/>
          <w:szCs w:val="20"/>
          <w:color w:val="auto"/>
        </w:rPr>
      </w:pPr>
      <w:r>
        <w:rPr>
          <w:rFonts w:ascii="Arial" w:cs="Arial" w:eastAsia="Arial" w:hAnsi="Arial"/>
          <w:sz w:val="18"/>
          <w:szCs w:val="18"/>
          <w:i w:val="1"/>
          <w:iCs w:val="1"/>
          <w:color w:val="auto"/>
        </w:rPr>
        <w:t xml:space="preserve">Gain on Sale, Taxable Exchange or Other Taxable Disposition of Class A Common Stock and Warrants. </w:t>
      </w:r>
      <w:r>
        <w:rPr>
          <w:rFonts w:ascii="Arial" w:cs="Arial" w:eastAsia="Arial" w:hAnsi="Arial"/>
          <w:sz w:val="18"/>
          <w:szCs w:val="18"/>
          <w:color w:val="auto"/>
        </w:rPr>
        <w:t>A Non-U.S. holder generally will not be subject to U.S. federal income or withholding tax</w:t>
      </w:r>
      <w:r>
        <w:rPr>
          <w:rFonts w:ascii="Arial" w:cs="Arial" w:eastAsia="Arial" w:hAnsi="Arial"/>
          <w:sz w:val="18"/>
          <w:szCs w:val="18"/>
          <w:i w:val="1"/>
          <w:iCs w:val="1"/>
          <w:color w:val="auto"/>
        </w:rPr>
        <w:t xml:space="preserve"> </w:t>
      </w:r>
      <w:r>
        <w:rPr>
          <w:rFonts w:ascii="Arial" w:cs="Arial" w:eastAsia="Arial" w:hAnsi="Arial"/>
          <w:sz w:val="18"/>
          <w:szCs w:val="18"/>
          <w:color w:val="auto"/>
        </w:rPr>
        <w:t>in respect of gain recognized on a sale, taxable exchange or other taxable disposition of our Class A common stock, which would include a dissolution and liquidation in the event we do not complete an initial business combination within 24 months from the closing</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4" w:name="page135"/>
    <w:bookmarkEnd w:id="134"/>
    <w:p>
      <w:pPr>
        <w:ind w:left="460" w:right="959"/>
        <w:spacing w:after="0" w:line="246" w:lineRule="auto"/>
        <w:rPr>
          <w:sz w:val="20"/>
          <w:szCs w:val="20"/>
          <w:color w:val="auto"/>
        </w:rPr>
      </w:pPr>
      <w:r>
        <w:rPr>
          <w:rFonts w:ascii="Arial" w:cs="Arial" w:eastAsia="Arial" w:hAnsi="Arial"/>
          <w:sz w:val="18"/>
          <w:szCs w:val="18"/>
          <w:color w:val="auto"/>
        </w:rPr>
        <w:t>of this offering, or warrants (including an expiration or redemption of our warrants), in each case without regard to whether those securities were held as part of a unit, unless:</w:t>
      </w:r>
    </w:p>
    <w:p>
      <w:pPr>
        <w:spacing w:after="0" w:line="8" w:lineRule="exact"/>
        <w:rPr>
          <w:sz w:val="20"/>
          <w:szCs w:val="20"/>
          <w:color w:val="auto"/>
        </w:rPr>
      </w:pPr>
    </w:p>
    <w:p>
      <w:pPr>
        <w:ind w:left="1100" w:right="559" w:hanging="322"/>
        <w:spacing w:after="0" w:line="261" w:lineRule="auto"/>
        <w:tabs>
          <w:tab w:leader="none" w:pos="1039"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0" w:lineRule="exact"/>
        <w:rPr>
          <w:rFonts w:ascii="Arial" w:cs="Arial" w:eastAsia="Arial" w:hAnsi="Arial"/>
          <w:sz w:val="17"/>
          <w:szCs w:val="17"/>
          <w:color w:val="auto"/>
        </w:rPr>
      </w:pPr>
    </w:p>
    <w:p>
      <w:pPr>
        <w:ind w:left="1100" w:right="499" w:hanging="322"/>
        <w:spacing w:after="0" w:line="236" w:lineRule="auto"/>
        <w:tabs>
          <w:tab w:leader="none" w:pos="103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during the shorter of the five-year period ending on the date of disposition or the period that the Non-U.S. holder held our Class A common stock, and, in the case where shares of our Class A common stock are regularly traded on an established securities market, the Non-U.S. holder has owned, directly or constructively, more than 5% of our Class A common stock at any time within the shorter of the five-year period preceding the disposition or such Non-U.S. holder’s holding period for the shares of our Class A common stock. There can be no assurance that our Class A common stock will be treated as regularly traded on an established securities market for this purpose.</w:t>
      </w:r>
    </w:p>
    <w:p>
      <w:pPr>
        <w:spacing w:after="0" w:line="139"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21" w:lineRule="exact"/>
        <w:rPr>
          <w:sz w:val="20"/>
          <w:szCs w:val="20"/>
          <w:color w:val="auto"/>
        </w:rPr>
      </w:pPr>
    </w:p>
    <w:p>
      <w:pPr>
        <w:jc w:val="both"/>
        <w:ind w:left="460" w:right="539"/>
        <w:spacing w:after="0" w:line="248" w:lineRule="auto"/>
        <w:rPr>
          <w:sz w:val="20"/>
          <w:szCs w:val="20"/>
          <w:color w:val="auto"/>
        </w:rPr>
      </w:pPr>
      <w:r>
        <w:rPr>
          <w:rFonts w:ascii="Arial" w:cs="Arial" w:eastAsia="Arial" w:hAnsi="Arial"/>
          <w:sz w:val="17"/>
          <w:szCs w:val="17"/>
          <w:color w:val="auto"/>
        </w:rPr>
        <w:t>If the second bullet point above applies to a Non-U.S. holder, gain recognized by such holder on the sale, exchange or other disposition of our Class A common stock or warrants will be subject to tax at generally applicable U.S. federal income tax rates. In addition, a buyer of our Class A common stock or warrants from such holder may be required to withhold U.S. federal income tax at a rate of 15% of the amount realized upon such disposition. We cannot determine whether we will be a “United States real property holding corporation” in the future until we complete an initial business combination. We will be classified as a U.S. real property holding corporation if the fair market value of our</w:t>
      </w:r>
    </w:p>
    <w:p>
      <w:pPr>
        <w:spacing w:after="0" w:line="4" w:lineRule="exact"/>
        <w:rPr>
          <w:sz w:val="20"/>
          <w:szCs w:val="20"/>
          <w:color w:val="auto"/>
        </w:rPr>
      </w:pPr>
    </w:p>
    <w:p>
      <w:pPr>
        <w:ind w:left="460" w:right="619"/>
        <w:spacing w:after="0"/>
        <w:rPr>
          <w:sz w:val="20"/>
          <w:szCs w:val="20"/>
          <w:color w:val="auto"/>
        </w:rPr>
      </w:pPr>
      <w:r>
        <w:rPr>
          <w:rFonts w:ascii="Arial" w:cs="Arial" w:eastAsia="Arial" w:hAnsi="Arial"/>
          <w:sz w:val="18"/>
          <w:szCs w:val="18"/>
          <w:color w:val="auto"/>
        </w:rPr>
        <w:t>“United States real property interests” equals or exceeds 50 percent of the sum of the fair market value of our worldwide real property interests plus our other assets used or held for use in a trade or business, as determined for U.S. federal income tax purposes.</w:t>
      </w:r>
    </w:p>
    <w:p>
      <w:pPr>
        <w:spacing w:after="0" w:line="117" w:lineRule="exact"/>
        <w:rPr>
          <w:sz w:val="20"/>
          <w:szCs w:val="20"/>
          <w:color w:val="auto"/>
        </w:rPr>
      </w:pPr>
    </w:p>
    <w:p>
      <w:pPr>
        <w:ind w:left="460" w:right="559"/>
        <w:spacing w:after="0" w:line="251" w:lineRule="auto"/>
        <w:rPr>
          <w:sz w:val="20"/>
          <w:szCs w:val="20"/>
          <w:color w:val="auto"/>
        </w:rPr>
      </w:pPr>
      <w:r>
        <w:rPr>
          <w:rFonts w:ascii="Arial" w:cs="Arial" w:eastAsia="Arial" w:hAnsi="Arial"/>
          <w:sz w:val="17"/>
          <w:szCs w:val="17"/>
          <w:i w:val="1"/>
          <w:iCs w:val="1"/>
          <w:color w:val="auto"/>
        </w:rPr>
        <w:t xml:space="preserve">Redemption of Class A Common Stock. </w:t>
      </w:r>
      <w:r>
        <w:rPr>
          <w:rFonts w:ascii="Arial" w:cs="Arial" w:eastAsia="Arial" w:hAnsi="Arial"/>
          <w:sz w:val="17"/>
          <w:szCs w:val="17"/>
          <w:color w:val="auto"/>
        </w:rPr>
        <w:t>The characterization for U.S. federal income tax purposes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redemption of a Non-U.S. holder’s Class A common stock pursuant to the redemption provisions described in the section of this prospectus entitled “Description of Securities — Common Stock” generally will correspond to the U.S. federal income tax characterization of such a redemption of a U.S. holder’s Class A common stock, as described under “U.S. Holders — Redemption of Class A Common Stock” above, and the consequences of the redemption to the Non-U.S. holder will be as described above under “Non-U.S. holders — Taxation of Distributions” and “Non-U.S. Holders</w:t>
      </w:r>
    </w:p>
    <w:p>
      <w:pPr>
        <w:spacing w:after="0" w:line="4" w:lineRule="exact"/>
        <w:rPr>
          <w:sz w:val="20"/>
          <w:szCs w:val="20"/>
          <w:color w:val="auto"/>
        </w:rPr>
      </w:pPr>
    </w:p>
    <w:p>
      <w:pPr>
        <w:ind w:left="460" w:right="919"/>
        <w:spacing w:after="0" w:line="246" w:lineRule="auto"/>
        <w:rPr>
          <w:sz w:val="20"/>
          <w:szCs w:val="20"/>
          <w:color w:val="auto"/>
        </w:rPr>
      </w:pPr>
      <w:r>
        <w:rPr>
          <w:rFonts w:ascii="Arial" w:cs="Arial" w:eastAsia="Arial" w:hAnsi="Arial"/>
          <w:sz w:val="18"/>
          <w:szCs w:val="18"/>
          <w:color w:val="auto"/>
        </w:rPr>
        <w:t>— Gain on Sale, Taxable Exchange or Other Taxable Disposition of Class A Common Stock and Warrants,” as applicable.</w:t>
      </w:r>
    </w:p>
    <w:p>
      <w:pPr>
        <w:spacing w:after="0" w:line="111" w:lineRule="exact"/>
        <w:rPr>
          <w:sz w:val="20"/>
          <w:szCs w:val="20"/>
          <w:color w:val="auto"/>
        </w:rPr>
      </w:pPr>
    </w:p>
    <w:p>
      <w:pPr>
        <w:ind w:left="460" w:right="479"/>
        <w:spacing w:after="0" w:line="237" w:lineRule="auto"/>
        <w:rPr>
          <w:sz w:val="20"/>
          <w:szCs w:val="20"/>
          <w:color w:val="auto"/>
        </w:rPr>
      </w:pPr>
      <w:r>
        <w:rPr>
          <w:rFonts w:ascii="Arial" w:cs="Arial" w:eastAsia="Arial" w:hAnsi="Arial"/>
          <w:sz w:val="18"/>
          <w:szCs w:val="18"/>
          <w:i w:val="1"/>
          <w:iCs w:val="1"/>
          <w:color w:val="auto"/>
        </w:rPr>
        <w:t xml:space="preserve">Possible Constructive Distributions. </w:t>
      </w:r>
      <w:r>
        <w:rPr>
          <w:rFonts w:ascii="Arial" w:cs="Arial" w:eastAsia="Arial" w:hAnsi="Arial"/>
          <w:sz w:val="18"/>
          <w:szCs w:val="18"/>
          <w:color w:val="auto"/>
        </w:rPr>
        <w:t>The terms of each warrant provide for an adjustment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of Class A common stock for which the warrant may be exercised or to the exercise price of the warrant in certain events, as discussed in the section of this prospectus captioned “Description of Securities — Redeemable Warrants — Public Stockholders’ Warrants.” An adjustment which has the effect of preventing dilution is generally not a taxable event. Nevertheless, a Non-U.S. holder of warrants would be treated as receiving a constructive distribution from us if, for example, the adjustment increases the holder’s proportionate interest in our assets or earnings and profits (for example, through an increase in the number of shares of Class A common stock that would be obtained upon exercise) as a result of a distribution of cash or other property, such as other securities, to the holders of shares of our Class A common stock which is taxable to such holders as a distribution. Any constructive distribution received by a Non-U.S. holder would be subject to U.S. federal income tax (including any applicable withholding) in the same manner as if such Non-U.S. holder received a cash distribution from us equal to the fair market value of such increased interest without any corresponding receipt of cash.</w:t>
      </w:r>
    </w:p>
    <w:p>
      <w:pPr>
        <w:spacing w:after="0" w:line="108" w:lineRule="exact"/>
        <w:rPr>
          <w:sz w:val="20"/>
          <w:szCs w:val="20"/>
          <w:color w:val="auto"/>
        </w:rPr>
      </w:pPr>
    </w:p>
    <w:p>
      <w:pPr>
        <w:ind w:left="460" w:right="539"/>
        <w:spacing w:after="0" w:line="241" w:lineRule="auto"/>
        <w:rPr>
          <w:sz w:val="20"/>
          <w:szCs w:val="20"/>
          <w:color w:val="auto"/>
        </w:rPr>
      </w:pPr>
      <w:r>
        <w:rPr>
          <w:rFonts w:ascii="Arial" w:cs="Arial" w:eastAsia="Arial" w:hAnsi="Arial"/>
          <w:sz w:val="18"/>
          <w:szCs w:val="18"/>
          <w:i w:val="1"/>
          <w:iCs w:val="1"/>
          <w:color w:val="auto"/>
        </w:rPr>
        <w:t xml:space="preserve">Information Reporting and Backup Withholding. </w:t>
      </w:r>
      <w:r>
        <w:rPr>
          <w:rFonts w:ascii="Arial" w:cs="Arial" w:eastAsia="Arial" w:hAnsi="Arial"/>
          <w:sz w:val="18"/>
          <w:szCs w:val="18"/>
          <w:color w:val="auto"/>
        </w:rPr>
        <w:t>Information returns will be filed with the IRS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payments of dividends and the proceeds from a sale or other disposition of our units, shares of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5" w:name="page136"/>
    <w:bookmarkEnd w:id="135"/>
    <w:p>
      <w:pPr>
        <w:ind w:left="460" w:right="799"/>
        <w:spacing w:after="0" w:line="238" w:lineRule="auto"/>
        <w:rPr>
          <w:sz w:val="20"/>
          <w:szCs w:val="20"/>
          <w:color w:val="auto"/>
        </w:rPr>
      </w:pPr>
      <w:r>
        <w:rPr>
          <w:rFonts w:ascii="Arial" w:cs="Arial" w:eastAsia="Arial" w:hAnsi="Arial"/>
          <w:sz w:val="18"/>
          <w:szCs w:val="18"/>
          <w:color w:val="auto"/>
        </w:rPr>
        <w:t>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0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i w:val="1"/>
          <w:iCs w:val="1"/>
          <w:color w:val="auto"/>
        </w:rPr>
        <w:t xml:space="preserve">FATCA Withholding Taxes. </w:t>
      </w:r>
      <w:r>
        <w:rPr>
          <w:rFonts w:ascii="Arial" w:cs="Arial" w:eastAsia="Arial" w:hAnsi="Arial"/>
          <w:sz w:val="18"/>
          <w:szCs w:val="18"/>
          <w:color w:val="auto"/>
        </w:rPr>
        <w:t>Provisions commonly referred to as “FATCA” impose withholding of 30%</w:t>
      </w:r>
      <w:r>
        <w:rPr>
          <w:rFonts w:ascii="Arial" w:cs="Arial" w:eastAsia="Arial" w:hAnsi="Arial"/>
          <w:sz w:val="18"/>
          <w:szCs w:val="18"/>
          <w:i w:val="1"/>
          <w:iCs w:val="1"/>
          <w:color w:val="auto"/>
        </w:rPr>
        <w:t xml:space="preserve"> </w:t>
      </w:r>
      <w:r>
        <w:rPr>
          <w:rFonts w:ascii="Arial" w:cs="Arial" w:eastAsia="Arial" w:hAnsi="Arial"/>
          <w:sz w:val="18"/>
          <w:szCs w:val="18"/>
          <w:color w:val="auto"/>
        </w:rPr>
        <w:t>on payments of dividends (including constructive dividends) on our Class A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advisers regarding the effects of FATCA on their investment in our securities.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460"/>
        <w:spacing w:after="0"/>
        <w:tabs>
          <w:tab w:leader="none" w:pos="7580" w:val="left"/>
        </w:tabs>
        <w:rPr>
          <w:sz w:val="20"/>
          <w:szCs w:val="20"/>
          <w:color w:val="auto"/>
        </w:rPr>
      </w:pPr>
      <w:r>
        <w:rPr>
          <w:rFonts w:ascii="Arial" w:cs="Arial" w:eastAsia="Arial" w:hAnsi="Arial"/>
          <w:sz w:val="18"/>
          <w:szCs w:val="18"/>
          <w:color w:val="auto"/>
        </w:rPr>
        <w:t>Subject to the terms and conditions set forth in the underwriting agreement, dated</w:t>
      </w:r>
      <w:r>
        <w:rPr>
          <w:sz w:val="20"/>
          <w:szCs w:val="20"/>
          <w:color w:val="auto"/>
        </w:rPr>
        <w:tab/>
      </w:r>
      <w:r>
        <w:rPr>
          <w:rFonts w:ascii="Arial" w:cs="Arial" w:eastAsia="Arial" w:hAnsi="Arial"/>
          <w:sz w:val="17"/>
          <w:szCs w:val="17"/>
          <w:color w:val="auto"/>
        </w:rPr>
        <w:t>, between</w:t>
      </w:r>
    </w:p>
    <w:p>
      <w:pPr>
        <w:ind w:left="460" w:right="519"/>
        <w:spacing w:after="0" w:line="238" w:lineRule="auto"/>
        <w:rPr>
          <w:sz w:val="20"/>
          <w:szCs w:val="20"/>
          <w:color w:val="auto"/>
        </w:rPr>
      </w:pPr>
      <w:r>
        <w:rPr>
          <w:rFonts w:ascii="Arial" w:cs="Arial" w:eastAsia="Arial" w:hAnsi="Arial"/>
          <w:sz w:val="18"/>
          <w:szCs w:val="18"/>
          <w:color w:val="auto"/>
        </w:rPr>
        <w:t>us and Jefferies LLC, as the representatives of the underwriters named below and the book running manager of this offering, we have agreed to sell to the underwriters, and each of the underwriters has agreed, severally and not jointly, to purchase from us, the respective number of units shown opposite its name below:</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6900" w:type="dxa"/>
            <w:vAlign w:val="bottom"/>
            <w:gridSpan w:val="2"/>
          </w:tcPr>
          <w:p>
            <w:pPr>
              <w:spacing w:after="0"/>
              <w:rPr>
                <w:sz w:val="20"/>
                <w:szCs w:val="20"/>
                <w:color w:val="auto"/>
              </w:rPr>
            </w:pPr>
            <w:r>
              <w:rPr>
                <w:rFonts w:ascii="Arial" w:cs="Arial" w:eastAsia="Arial" w:hAnsi="Arial"/>
                <w:sz w:val="14"/>
                <w:szCs w:val="14"/>
                <w:b w:val="1"/>
                <w:bCs w:val="1"/>
                <w:color w:val="auto"/>
              </w:rPr>
              <w:t>Underwriters</w:t>
            </w: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Number of Units</w:t>
            </w:r>
          </w:p>
        </w:tc>
      </w:tr>
      <w:tr>
        <w:trPr>
          <w:trHeight w:val="26"/>
        </w:trPr>
        <w:tc>
          <w:tcPr>
            <w:tcW w:w="6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Jefferies LLC</w:t>
            </w:r>
          </w:p>
        </w:tc>
        <w:tc>
          <w:tcPr>
            <w:tcW w:w="1200" w:type="dxa"/>
            <w:vAlign w:val="bottom"/>
            <w:tcBorders>
              <w:bottom w:val="single" w:sz="8" w:color="CCEEFF"/>
            </w:tcBorders>
            <w:shd w:val="clear" w:color="auto" w:fill="CCEEFF"/>
          </w:tcPr>
          <w:p>
            <w:pPr>
              <w:spacing w:after="0"/>
              <w:rPr>
                <w:sz w:val="22"/>
                <w:szCs w:val="22"/>
                <w:color w:val="auto"/>
              </w:rPr>
            </w:pPr>
          </w:p>
        </w:tc>
      </w:tr>
      <w:tr>
        <w:trPr>
          <w:trHeight w:val="250"/>
        </w:trPr>
        <w:tc>
          <w:tcPr>
            <w:tcW w:w="6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10,000,000</w:t>
            </w:r>
          </w:p>
        </w:tc>
      </w:tr>
      <w:tr>
        <w:trPr>
          <w:trHeight w:val="20"/>
        </w:trPr>
        <w:tc>
          <w:tcPr>
            <w:tcW w:w="6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units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2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units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units, that you will be able to sell any of the units held by you at a particular time or that the prices that you receive when you sell will be favorable.</w:t>
      </w:r>
    </w:p>
    <w:p>
      <w:pPr>
        <w:spacing w:after="0" w:line="137" w:lineRule="exact"/>
        <w:rPr>
          <w:sz w:val="20"/>
          <w:szCs w:val="20"/>
          <w:color w:val="auto"/>
        </w:rPr>
      </w:pPr>
    </w:p>
    <w:p>
      <w:pPr>
        <w:jc w:val="both"/>
        <w:ind w:left="460" w:right="579"/>
        <w:spacing w:after="0" w:line="238" w:lineRule="auto"/>
        <w:rPr>
          <w:sz w:val="20"/>
          <w:szCs w:val="20"/>
          <w:color w:val="auto"/>
        </w:rPr>
      </w:pPr>
      <w:r>
        <w:rPr>
          <w:rFonts w:ascii="Arial" w:cs="Arial" w:eastAsia="Arial" w:hAnsi="Arial"/>
          <w:sz w:val="18"/>
          <w:szCs w:val="18"/>
          <w:color w:val="auto"/>
        </w:rPr>
        <w:t>The underwriters are offering the units subject to their acceptance of the units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Commission and Expenses</w:t>
      </w:r>
    </w:p>
    <w:p>
      <w:pPr>
        <w:spacing w:after="0" w:line="166" w:lineRule="exact"/>
        <w:rPr>
          <w:sz w:val="20"/>
          <w:szCs w:val="20"/>
          <w:color w:val="auto"/>
        </w:rPr>
      </w:pPr>
    </w:p>
    <w:p>
      <w:pPr>
        <w:ind w:left="460" w:right="519"/>
        <w:spacing w:after="0" w:line="248" w:lineRule="auto"/>
        <w:rPr>
          <w:sz w:val="20"/>
          <w:szCs w:val="20"/>
          <w:color w:val="auto"/>
        </w:rPr>
      </w:pPr>
      <w:r>
        <w:rPr>
          <w:rFonts w:ascii="Arial" w:cs="Arial" w:eastAsia="Arial" w:hAnsi="Arial"/>
          <w:sz w:val="17"/>
          <w:szCs w:val="17"/>
          <w:color w:val="auto"/>
        </w:rPr>
        <w:t>The underwriters have advised us that they propose to offer the units to the public at the initial public offering price set forth on the cover page of this prospectus and to certain dealers, which may include</w:t>
      </w:r>
    </w:p>
    <w:p>
      <w:pPr>
        <w:ind w:left="460"/>
        <w:spacing w:after="0"/>
        <w:tabs>
          <w:tab w:leader="none" w:pos="6240" w:val="left"/>
        </w:tabs>
        <w:rPr>
          <w:sz w:val="20"/>
          <w:szCs w:val="20"/>
          <w:color w:val="auto"/>
        </w:rPr>
      </w:pPr>
      <w:r>
        <w:rPr>
          <w:rFonts w:ascii="Arial" w:cs="Arial" w:eastAsia="Arial" w:hAnsi="Arial"/>
          <w:sz w:val="18"/>
          <w:szCs w:val="18"/>
          <w:color w:val="auto"/>
        </w:rPr>
        <w:t>the underwriters, at that price less a concession not in excess of $</w:t>
      </w:r>
      <w:r>
        <w:rPr>
          <w:sz w:val="20"/>
          <w:szCs w:val="20"/>
          <w:color w:val="auto"/>
        </w:rPr>
        <w:tab/>
      </w:r>
      <w:r>
        <w:rPr>
          <w:rFonts w:ascii="Arial" w:cs="Arial" w:eastAsia="Arial" w:hAnsi="Arial"/>
          <w:sz w:val="17"/>
          <w:szCs w:val="17"/>
          <w:color w:val="auto"/>
        </w:rPr>
        <w:t>per unit. The underwriters</w:t>
      </w:r>
    </w:p>
    <w:p>
      <w:pPr>
        <w:ind w:left="460"/>
        <w:spacing w:after="0" w:line="235" w:lineRule="auto"/>
        <w:rPr>
          <w:sz w:val="20"/>
          <w:szCs w:val="20"/>
          <w:color w:val="auto"/>
        </w:rPr>
      </w:pPr>
      <w:r>
        <w:rPr>
          <w:rFonts w:ascii="Arial" w:cs="Arial" w:eastAsia="Arial" w:hAnsi="Arial"/>
          <w:sz w:val="18"/>
          <w:szCs w:val="18"/>
          <w:color w:val="auto"/>
        </w:rPr>
        <w:t>may allow, and certain dealers may reallow, a discount from the concession not in excess of $</w:t>
      </w:r>
    </w:p>
    <w:p>
      <w:pPr>
        <w:ind w:left="460"/>
        <w:spacing w:after="0" w:line="235" w:lineRule="auto"/>
        <w:rPr>
          <w:sz w:val="20"/>
          <w:szCs w:val="20"/>
          <w:color w:val="auto"/>
        </w:rPr>
      </w:pPr>
      <w:r>
        <w:rPr>
          <w:rFonts w:ascii="Arial" w:cs="Arial" w:eastAsia="Arial" w:hAnsi="Arial"/>
          <w:sz w:val="18"/>
          <w:szCs w:val="18"/>
          <w:color w:val="auto"/>
        </w:rPr>
        <w:t>per unit to certain brokers and dealers. After the offering, the initial public offering price, concession</w:t>
      </w:r>
    </w:p>
    <w:p>
      <w:pPr>
        <w:ind w:left="460"/>
        <w:spacing w:after="0" w:line="235" w:lineRule="auto"/>
        <w:rPr>
          <w:sz w:val="20"/>
          <w:szCs w:val="20"/>
          <w:color w:val="auto"/>
        </w:rPr>
      </w:pPr>
      <w:r>
        <w:rPr>
          <w:rFonts w:ascii="Arial" w:cs="Arial" w:eastAsia="Arial" w:hAnsi="Arial"/>
          <w:sz w:val="18"/>
          <w:szCs w:val="18"/>
          <w:color w:val="auto"/>
        </w:rPr>
        <w:t>and reallowance to dealers may be reduced by the representative. No such reduction will change the</w:t>
      </w:r>
    </w:p>
    <w:p>
      <w:pPr>
        <w:ind w:left="460"/>
        <w:spacing w:after="0"/>
        <w:rPr>
          <w:sz w:val="20"/>
          <w:szCs w:val="20"/>
          <w:color w:val="auto"/>
        </w:rPr>
      </w:pPr>
      <w:r>
        <w:rPr>
          <w:rFonts w:ascii="Arial" w:cs="Arial" w:eastAsia="Arial" w:hAnsi="Arial"/>
          <w:sz w:val="18"/>
          <w:szCs w:val="18"/>
          <w:color w:val="auto"/>
        </w:rPr>
        <w:t>amount of proceeds to be received by us as set forth on the cover page of this prospectus.</w:t>
      </w:r>
    </w:p>
    <w:p>
      <w:pPr>
        <w:spacing w:after="0" w:line="131"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units.</w:t>
      </w:r>
    </w:p>
    <w:p>
      <w:pPr>
        <w:spacing w:after="0" w:line="166"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PAID BY FS DEVELOPMENT</w:t>
      </w:r>
    </w:p>
    <w:p>
      <w:pPr>
        <w:spacing w:after="0" w:line="19" w:lineRule="exact"/>
        <w:rPr>
          <w:sz w:val="20"/>
          <w:szCs w:val="20"/>
          <w:color w:val="auto"/>
        </w:rPr>
      </w:pPr>
    </w:p>
    <w:p>
      <w:pPr>
        <w:jc w:val="center"/>
        <w:ind w:left="5500"/>
        <w:spacing w:after="0"/>
        <w:rPr>
          <w:sz w:val="20"/>
          <w:szCs w:val="20"/>
          <w:color w:val="auto"/>
        </w:rPr>
      </w:pPr>
      <w:r>
        <w:rPr>
          <w:rFonts w:ascii="Arial" w:cs="Arial" w:eastAsia="Arial" w:hAnsi="Arial"/>
          <w:sz w:val="14"/>
          <w:szCs w:val="14"/>
          <w:b w:val="1"/>
          <w:bCs w:val="1"/>
          <w:color w:val="auto"/>
        </w:rPr>
        <w:t>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23495</wp:posOffset>
            </wp:positionV>
            <wp:extent cx="16370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37030" cy="8255"/>
                    </a:xfrm>
                    <a:prstGeom prst="rect">
                      <a:avLst/>
                    </a:prstGeom>
                    <a:noFill/>
                  </pic:spPr>
                </pic:pic>
              </a:graphicData>
            </a:graphic>
          </wp:anchor>
        </w:drawing>
      </w:r>
    </w:p>
    <w:p>
      <w:pPr>
        <w:spacing w:after="0" w:line="98"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No Exercise</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16"/>
              <w:spacing w:after="0"/>
              <w:rPr>
                <w:sz w:val="20"/>
                <w:szCs w:val="20"/>
                <w:color w:val="auto"/>
              </w:rPr>
            </w:pPr>
            <w:r>
              <w:rPr>
                <w:rFonts w:ascii="Arial" w:cs="Arial" w:eastAsia="Arial" w:hAnsi="Arial"/>
                <w:sz w:val="14"/>
                <w:szCs w:val="14"/>
                <w:b w:val="1"/>
                <w:bCs w:val="1"/>
                <w:color w:val="auto"/>
              </w:rPr>
              <w:t>Full Exercise</w:t>
            </w:r>
          </w:p>
        </w:tc>
      </w:tr>
      <w:tr>
        <w:trPr>
          <w:trHeight w:val="25"/>
        </w:trPr>
        <w:tc>
          <w:tcPr>
            <w:tcW w:w="3140" w:type="dxa"/>
            <w:vAlign w:val="bottom"/>
            <w:tcBorders>
              <w:bottom w:val="single" w:sz="8" w:color="CCEEFF"/>
            </w:tcBorders>
          </w:tcPr>
          <w:p>
            <w:pPr>
              <w:spacing w:after="0"/>
              <w:rPr>
                <w:sz w:val="2"/>
                <w:szCs w:val="2"/>
                <w:color w:val="auto"/>
              </w:rPr>
            </w:pPr>
          </w:p>
        </w:tc>
        <w:tc>
          <w:tcPr>
            <w:tcW w:w="2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r>
              <w:rPr>
                <w:rFonts w:ascii="Arial" w:cs="Arial" w:eastAsia="Arial" w:hAnsi="Arial"/>
                <w:sz w:val="20"/>
                <w:szCs w:val="20"/>
                <w:color w:val="auto"/>
                <w:vertAlign w:val="superscript"/>
              </w:rPr>
              <w:t>(1)</w:t>
            </w:r>
          </w:p>
        </w:tc>
        <w:tc>
          <w:tcPr>
            <w:tcW w:w="2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r>
      <w:tr>
        <w:trPr>
          <w:trHeight w:val="307"/>
        </w:trPr>
        <w:tc>
          <w:tcPr>
            <w:tcW w:w="3140" w:type="dxa"/>
            <w:vAlign w:val="bottom"/>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2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5,500,000</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6,325,000</w:t>
            </w:r>
          </w:p>
        </w:tc>
      </w:tr>
    </w:tbl>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880" w:right="519" w:hanging="426"/>
        <w:spacing w:after="0" w:line="222" w:lineRule="auto"/>
        <w:tabs>
          <w:tab w:leader="none" w:pos="847" w:val="left"/>
        </w:tabs>
        <w:numPr>
          <w:ilvl w:val="0"/>
          <w:numId w:val="79"/>
        </w:numPr>
        <w:rPr>
          <w:rFonts w:ascii="Arial" w:cs="Arial" w:eastAsia="Arial" w:hAnsi="Arial"/>
          <w:sz w:val="13"/>
          <w:szCs w:val="13"/>
          <w:color w:val="auto"/>
        </w:rPr>
      </w:pPr>
      <w:r>
        <w:rPr>
          <w:rFonts w:ascii="Arial" w:cs="Arial" w:eastAsia="Arial" w:hAnsi="Arial"/>
          <w:sz w:val="13"/>
          <w:szCs w:val="13"/>
          <w:color w:val="auto"/>
        </w:rPr>
        <w:t>$0.20 per unit, or $2,000,000 in the aggregate (or $2,300,000 if the underwriters’ over-allotment option is exercised in full), is payable upon the closing of this offering. Includes $0.35 per unit, or $3,500,000 in the aggregate (or $4,025,000 in the aggregate if the over-allotment option is exercised in full) payable to the underwriters for deferred underwriting commissions will be placed in a trust account located in the United States as described herein. The deferred commissions will be released to the underwriters only on and concurrently with completion of an initial business combination.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37" w:name="page138"/>
    <w:bookmarkEnd w:id="137"/>
    <w:p>
      <w:pPr>
        <w:ind w:left="460" w:right="499"/>
        <w:spacing w:after="0" w:line="237" w:lineRule="auto"/>
        <w:rPr>
          <w:sz w:val="20"/>
          <w:szCs w:val="20"/>
          <w:color w:val="auto"/>
        </w:rPr>
      </w:pPr>
      <w:r>
        <w:rPr>
          <w:rFonts w:ascii="Arial" w:cs="Arial" w:eastAsia="Arial" w:hAnsi="Arial"/>
          <w:sz w:val="18"/>
          <w:szCs w:val="18"/>
          <w:color w:val="auto"/>
        </w:rPr>
        <w:t>If we do not complete our initial business combination within the time period required by our amended and restated certificate of incorporation, the underwriters have agreed that (i) they will forfeit any rights or claims to their deferred underwriting discounts and commissions, including any accrued interest thereon, then in the trust account and (ii) the deferred underwriters’ discounts and commissions will be distributed on a pro rata basis, together with any accrued interest thereon (which interest will be net of taxes payable) to the public shareholders.</w:t>
      </w:r>
    </w:p>
    <w:p>
      <w:pPr>
        <w:spacing w:after="0" w:line="124" w:lineRule="exact"/>
        <w:rPr>
          <w:sz w:val="20"/>
          <w:szCs w:val="20"/>
          <w:color w:val="auto"/>
        </w:rPr>
      </w:pPr>
    </w:p>
    <w:p>
      <w:pPr>
        <w:ind w:left="460" w:right="599"/>
        <w:spacing w:after="0" w:line="261" w:lineRule="auto"/>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 will be approximately $1,000,000. We have agreed to pay for FINRA-related fees and expenses of the underwriters’ legal counsel, not to exceed $25,000.</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Determination of Offering Price</w:t>
      </w:r>
    </w:p>
    <w:p>
      <w:pPr>
        <w:spacing w:after="0" w:line="16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Prior to this offering, there has not been a public market for our securities. Consequently, the initial public offering price for our units was determined by negotiations between us and the representative. Among the factors considered in these negotiations were the history and prospects of companies whose principal business is the acquisition of other companies, prior offerings of those companies, our management team, our capital structure, and currently prevailing general conditions in equity securities markets, including current market valuations of publicly traded companies considered comparable to our company.</w:t>
      </w:r>
    </w:p>
    <w:p>
      <w:pPr>
        <w:spacing w:after="0" w:line="135" w:lineRule="exact"/>
        <w:rPr>
          <w:sz w:val="20"/>
          <w:szCs w:val="20"/>
          <w:color w:val="auto"/>
        </w:rPr>
      </w:pPr>
    </w:p>
    <w:p>
      <w:pPr>
        <w:ind w:left="460" w:right="599"/>
        <w:spacing w:after="0"/>
        <w:rPr>
          <w:sz w:val="20"/>
          <w:szCs w:val="20"/>
          <w:color w:val="auto"/>
        </w:rPr>
      </w:pPr>
      <w:r>
        <w:rPr>
          <w:rFonts w:ascii="Arial" w:cs="Arial" w:eastAsia="Arial" w:hAnsi="Arial"/>
          <w:sz w:val="18"/>
          <w:szCs w:val="18"/>
          <w:color w:val="auto"/>
        </w:rPr>
        <w:t>We offer no assurances that the initial public offering price will correspond to the price at which the units will trade in the public market subsequent to the offering or that an active trading market for the units will develop and continue after the offering.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w:t>
      </w:r>
    </w:p>
    <w:p>
      <w:pPr>
        <w:spacing w:after="0" w:line="148" w:lineRule="exact"/>
        <w:rPr>
          <w:sz w:val="20"/>
          <w:szCs w:val="20"/>
          <w:color w:val="auto"/>
        </w:rPr>
      </w:pPr>
    </w:p>
    <w:p>
      <w:pPr>
        <w:ind w:left="460"/>
        <w:spacing w:after="0"/>
        <w:tabs>
          <w:tab w:leader="none" w:pos="6780" w:val="left"/>
        </w:tabs>
        <w:rPr>
          <w:sz w:val="20"/>
          <w:szCs w:val="20"/>
          <w:color w:val="auto"/>
        </w:rPr>
      </w:pPr>
      <w:r>
        <w:rPr>
          <w:rFonts w:ascii="Arial" w:cs="Arial" w:eastAsia="Arial" w:hAnsi="Arial"/>
          <w:sz w:val="18"/>
          <w:szCs w:val="18"/>
          <w:color w:val="auto"/>
        </w:rPr>
        <w:t>We intend to apply to have our units listed on Nasdaq under the symbol “[</w:t>
      </w:r>
      <w:r>
        <w:rPr>
          <w:sz w:val="20"/>
          <w:szCs w:val="20"/>
          <w:color w:val="auto"/>
        </w:rPr>
        <w:tab/>
      </w:r>
      <w:r>
        <w:rPr>
          <w:rFonts w:ascii="Arial" w:cs="Arial" w:eastAsia="Arial" w:hAnsi="Arial"/>
          <w:sz w:val="18"/>
          <w:szCs w:val="18"/>
          <w:color w:val="auto"/>
        </w:rPr>
        <w:t>].” Once the securities</w:t>
      </w:r>
    </w:p>
    <w:p>
      <w:pPr>
        <w:ind w:left="460"/>
        <w:spacing w:after="0" w:line="234" w:lineRule="auto"/>
        <w:rPr>
          <w:sz w:val="20"/>
          <w:szCs w:val="20"/>
          <w:color w:val="auto"/>
        </w:rPr>
      </w:pPr>
      <w:r>
        <w:rPr>
          <w:rFonts w:ascii="Arial" w:cs="Arial" w:eastAsia="Arial" w:hAnsi="Arial"/>
          <w:sz w:val="18"/>
          <w:szCs w:val="18"/>
          <w:color w:val="auto"/>
        </w:rPr>
        <w:t>comprising the units begin separate trading, we expect that the Class A common stock and warrants</w:t>
      </w:r>
    </w:p>
    <w:p>
      <w:pPr>
        <w:spacing w:after="0" w:line="1" w:lineRule="exact"/>
        <w:rPr>
          <w:sz w:val="20"/>
          <w:szCs w:val="20"/>
          <w:color w:val="auto"/>
        </w:rPr>
      </w:pPr>
    </w:p>
    <w:p>
      <w:pPr>
        <w:ind w:left="460" w:right="699"/>
        <w:spacing w:after="0"/>
        <w:rPr>
          <w:sz w:val="20"/>
          <w:szCs w:val="20"/>
          <w:color w:val="auto"/>
        </w:rPr>
      </w:pPr>
      <w:r>
        <w:rPr>
          <w:rFonts w:ascii="Arial" w:cs="Arial" w:eastAsia="Arial" w:hAnsi="Arial"/>
          <w:sz w:val="18"/>
          <w:szCs w:val="18"/>
          <w:color w:val="auto"/>
        </w:rPr>
        <w:t>will be listed on Nasdaq under the symbols “[ ]” and “[ ],” respectively. The units will automatically separate into their component parts and will not be traded following the completion of our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Option to Purchase Additional Units</w:t>
      </w:r>
    </w:p>
    <w:p>
      <w:pPr>
        <w:spacing w:after="0" w:line="166"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We have granted to the underwriters an option, exercisable for 45 days from the date of this prospectus, to purchase, from time to time, in whole or in part, up to an aggregate of 1,500,000 units from us at the public offering price set forth on the cover page of this prospectus, less underwriting discounts and commissions. If the underwriters exercise this option, each underwriter will be obligated, subject to specified conditions, to purchase a number of additional units proportionate to that underwriter’s initial purchase commitment as indicated in the table above. This option may be exercised only if the underwriters sell more units than the total number set forth on the cover page of this prospectus.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Letter Agreements</w:t>
      </w:r>
    </w:p>
    <w:p>
      <w:pPr>
        <w:spacing w:after="0" w:line="166"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We, our sponsor and our officers and directors have agreed that, for a period of 180 days from the date of this prospectus, we and they will not, without the prior written consent of Jefferies LLC, offer, sell, contract to sell, pledge or otherwise dispose of, directly or indirectly, any units, warrants, shares of Class A common stock or any other securities convertible into, or exercisable, or exchangeable for, Class A common stock; provided, however, that we may (1) issue and sell the private placement warrants, (2) issue and sell the additional units to cover our underwriters’ over-allotment option (if any), (3) register with the SEC pursuant to an agreement to be entered into concurrently with the issuance and sale of the securities in this offering, the resale of the founder shares and the private placement warrants and the securities underlying the foregoing or the warrants and shares of Class A common stock issuable upon exercise of the warrants, and (4) issue securities in connection with an initial business combination. Jefferies LLC, in its sole discretion, may release any of the securities subject to these lock-up agreements at any time without notice.</w:t>
      </w:r>
    </w:p>
    <w:p>
      <w:pPr>
        <w:spacing w:after="0" w:line="123" w:lineRule="exact"/>
        <w:rPr>
          <w:sz w:val="20"/>
          <w:szCs w:val="20"/>
          <w:color w:val="auto"/>
        </w:rPr>
      </w:pPr>
    </w:p>
    <w:p>
      <w:pPr>
        <w:ind w:left="460" w:right="499"/>
        <w:spacing w:after="0" w:line="234" w:lineRule="auto"/>
        <w:rPr>
          <w:sz w:val="20"/>
          <w:szCs w:val="20"/>
          <w:color w:val="auto"/>
        </w:rPr>
      </w:pPr>
      <w:r>
        <w:rPr>
          <w:rFonts w:ascii="Arial" w:cs="Arial" w:eastAsia="Arial" w:hAnsi="Arial"/>
          <w:sz w:val="18"/>
          <w:szCs w:val="18"/>
          <w:color w:val="auto"/>
        </w:rPr>
        <w:t>Our initial shareholders have agreed not to transfer, assign or sell any of their founder shares until the earlier to occur of: (A) one year after the completion of our initial business combination and</w:t>
      </w:r>
    </w:p>
    <w:p>
      <w:pPr>
        <w:spacing w:after="0" w:line="1" w:lineRule="exact"/>
        <w:rPr>
          <w:sz w:val="20"/>
          <w:szCs w:val="20"/>
          <w:color w:val="auto"/>
        </w:rPr>
      </w:pPr>
    </w:p>
    <w:p>
      <w:pPr>
        <w:ind w:left="460" w:right="879" w:hanging="6"/>
        <w:spacing w:after="0"/>
        <w:tabs>
          <w:tab w:leader="none" w:pos="75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subsequent to our initial business combination, (x) if the closing price of our Class A common stock equals or exceeds $12.00 per share (as adjusted for stock splits, stock capitalizations, reorganizations, recapitalizations and the like) for any 20 trading days within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color w:val="auto"/>
        </w:rPr>
        <w:t>any 30-trading day period commencing at least 150 days after our initial business combination, or</w:t>
      </w:r>
    </w:p>
    <w:p>
      <w:pPr>
        <w:ind w:left="460" w:right="759" w:hanging="6"/>
        <w:spacing w:after="0" w:line="236" w:lineRule="auto"/>
        <w:tabs>
          <w:tab w:leader="none" w:pos="7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date on which we complete a liquidation, merger, capital stock exchange, or other similar transaction that results in all of our public shareholders having the right to exchange their common stock for cash, securities or other property (except as described herein under “Principal Shareholders — Transfers of Founder Shares and Private Placement Warrants”). Any permitted transferees will be subject to the same restrictions and other agreements of our sponsor and our management team with respect to any founder shares, private placement warrants and shares of Class A common stock issued upon conversion or exercise thereof. We refer to such transfer restrictions throughout this prospectus as the lock-up.</w:t>
      </w:r>
    </w:p>
    <w:p>
      <w:pPr>
        <w:spacing w:after="0" w:line="127" w:lineRule="exact"/>
        <w:rPr>
          <w:sz w:val="20"/>
          <w:szCs w:val="20"/>
          <w:color w:val="auto"/>
        </w:rPr>
      </w:pPr>
    </w:p>
    <w:p>
      <w:pPr>
        <w:ind w:left="460" w:right="899"/>
        <w:spacing w:after="0" w:line="238" w:lineRule="auto"/>
        <w:rPr>
          <w:sz w:val="20"/>
          <w:szCs w:val="20"/>
          <w:color w:val="auto"/>
        </w:rPr>
      </w:pPr>
      <w:r>
        <w:rPr>
          <w:rFonts w:ascii="Arial" w:cs="Arial" w:eastAsia="Arial" w:hAnsi="Arial"/>
          <w:sz w:val="18"/>
          <w:szCs w:val="18"/>
          <w:color w:val="auto"/>
        </w:rPr>
        <w:t>The private placement warrants (including the shares of Class A common stock issuable upon exercise of the private placement warrants) will not be transferable, assignable or salable until 30 days after the completion of our initial business combination (except with respect to permitted transferees as described herein under the section of this prospectus entitled “Principal Shareholders — Transfers of Founder Shares and Private Placement Warrants”).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Stabilization</w:t>
      </w:r>
    </w:p>
    <w:p>
      <w:pPr>
        <w:spacing w:after="0" w:line="166"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The underwriters have advised us that they, pursuant to Regulation M under the Exchange Act, and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units at a level above that which might otherwise prevail in the open market. Establishing short sales positions may involve either “covered” short sales or “naked” short sales.</w:t>
      </w:r>
    </w:p>
    <w:p>
      <w:pPr>
        <w:spacing w:after="0" w:line="137" w:lineRule="exact"/>
        <w:rPr>
          <w:sz w:val="20"/>
          <w:szCs w:val="20"/>
          <w:color w:val="auto"/>
        </w:rPr>
      </w:pPr>
    </w:p>
    <w:p>
      <w:pPr>
        <w:ind w:left="460" w:right="479"/>
        <w:spacing w:after="0" w:line="253"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units in this offering. The underwriters may close out any covered short position by either exercising their option to purchase additional units or purchasing units in the open market. In determining the source of units to close out the covered short position, the underwriters will consider, among other things, the price of units available for purchase in the open market as compared to the price at which they may purchase units through the option to purchase additional units.</w:t>
      </w:r>
    </w:p>
    <w:p>
      <w:pPr>
        <w:spacing w:after="0" w:line="114"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“Naked” short sales are sales in excess of the option to purchase additional units. The underwriters must close out any naked short position by purchasing units in the open market. A naked short position is more likely to be created if the underwriters are concerned that there may be downward pressure on the price of our units in the open market after pricing that could adversely affect investors who purchase in this offering.</w:t>
      </w:r>
    </w:p>
    <w:p>
      <w:pPr>
        <w:spacing w:after="0" w:line="135"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A stabilizing bid is a bid for the purchase of units on behalf of the underwriters for the purpose of fixing or maintaining the price of the units. A syndicate covering transaction is the bid for or the purchase of units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units or preventing or retarding a decline in the market price of our units. As a result, the price of our units may be higher than the price that might otherwise exist in the open market. A penalty bid is an arrangement permitting the underwriters to reclaim the selling concession otherwise accruing to a syndicate member in connection with the offering if the units originally sold by such syndicate member are purchased in a syndicate covering transaction and therefore have not been effectively placed by such syndicate member.</w:t>
      </w:r>
    </w:p>
    <w:p>
      <w:pPr>
        <w:spacing w:after="0" w:line="137"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units. The underwriters are not obligated to engage in these activities and, if commenced, any of the activities may be discontinued at any time.</w:t>
      </w:r>
    </w:p>
    <w:p>
      <w:pPr>
        <w:spacing w:after="0" w:line="124"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 underwriters may also engage in passive market making transactions in our units on Nasdaq in accordance with Rule 103 of Regulation M during a period before the commencement of offers or sales of our units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bookmarkStart w:id="139" w:name="page140"/>
    <w:bookmarkEnd w:id="139"/>
    <w:p>
      <w:pPr>
        <w:ind w:left="460"/>
        <w:spacing w:after="0"/>
        <w:rPr>
          <w:sz w:val="20"/>
          <w:szCs w:val="20"/>
          <w:color w:val="auto"/>
        </w:rPr>
      </w:pPr>
      <w:r>
        <w:rPr>
          <w:rFonts w:ascii="Arial" w:cs="Arial" w:eastAsia="Arial" w:hAnsi="Arial"/>
          <w:sz w:val="18"/>
          <w:szCs w:val="18"/>
          <w:b w:val="1"/>
          <w:bCs w:val="1"/>
          <w:color w:val="auto"/>
        </w:rPr>
        <w:t>Electronic Distribution</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units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Activities and Relationships</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We are not under any contractual obligation to engage any of the underwriters to provide any services for us after this offering, and have no present intent to do so. However, any of the underwriters may introduce us to potential target businesses or assist us in raising additional capital in the future. If any of the underwriters provide services to us after this offering, we may pay such underwriter fair and reasonable fees that would be determined at that time in an arm’s length negotiation; provided that no agreement will be entered into with any of the underwriters and no fees for such services will be paid to any of the underwriters prior to the date that is 90 days from the date of this prospectus, unless FINRA determines that such payment would not be deemed underwriters’ compensation in connection with this offering and we may pay the underwriters of this offering or any entity with which they are affiliated a finder’s fee or other compensation for services rendered to us in connection with the completion of a business combination.</w:t>
      </w:r>
    </w:p>
    <w:p>
      <w:pPr>
        <w:spacing w:after="0" w:line="137" w:lineRule="exact"/>
        <w:rPr>
          <w:sz w:val="20"/>
          <w:szCs w:val="20"/>
          <w:color w:val="auto"/>
        </w:rPr>
      </w:pPr>
    </w:p>
    <w:p>
      <w:pPr>
        <w:ind w:left="460" w:right="459"/>
        <w:spacing w:after="0" w:line="253"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27"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Selling Restrictions</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Canada</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Resale Restrictions</w:t>
      </w:r>
    </w:p>
    <w:p>
      <w:pPr>
        <w:spacing w:after="0" w:line="144"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distribution of the securities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0" w:name="page141"/>
    <w:bookmarkEnd w:id="140"/>
    <w:p>
      <w:pPr>
        <w:ind w:left="460"/>
        <w:spacing w:after="0"/>
        <w:rPr>
          <w:sz w:val="20"/>
          <w:szCs w:val="20"/>
          <w:color w:val="auto"/>
        </w:rPr>
      </w:pPr>
      <w:r>
        <w:rPr>
          <w:rFonts w:ascii="Arial" w:cs="Arial" w:eastAsia="Arial" w:hAnsi="Arial"/>
          <w:sz w:val="18"/>
          <w:szCs w:val="18"/>
          <w:color w:val="auto"/>
        </w:rPr>
        <w:t>Representations of Canadian Purchasers</w:t>
      </w:r>
    </w:p>
    <w:p>
      <w:pPr>
        <w:spacing w:after="0" w:line="144" w:lineRule="exact"/>
        <w:rPr>
          <w:sz w:val="20"/>
          <w:szCs w:val="20"/>
          <w:color w:val="auto"/>
        </w:rPr>
      </w:pPr>
    </w:p>
    <w:p>
      <w:pPr>
        <w:ind w:left="460" w:right="519"/>
        <w:spacing w:after="0" w:line="265"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jc w:val="both"/>
        <w:ind w:left="1100" w:right="479" w:hanging="322"/>
        <w:spacing w:after="0"/>
        <w:tabs>
          <w:tab w:leader="none" w:pos="10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8"/>
          <w:szCs w:val="18"/>
          <w:i w:val="1"/>
          <w:iCs w:val="1"/>
          <w:color w:val="auto"/>
        </w:rPr>
        <w:t>Prospectus Exemptions</w:t>
      </w: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100" w:right="579" w:hanging="322"/>
        <w:spacing w:after="0" w:line="267" w:lineRule="auto"/>
        <w:tabs>
          <w:tab w:leader="none" w:pos="10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the purchaser is a “permitted client” as defined in National Instrument 31-103 —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Exemptions and Ongoing Registrant Obligations</w:t>
      </w:r>
      <w:r>
        <w:rPr>
          <w:rFonts w:ascii="Arial" w:cs="Arial" w:eastAsia="Arial" w:hAnsi="Arial"/>
          <w:sz w:val="18"/>
          <w:szCs w:val="18"/>
          <w:color w:val="auto"/>
        </w:rPr>
        <w:t>;</w:t>
      </w:r>
    </w:p>
    <w:p>
      <w:pPr>
        <w:spacing w:after="0" w:line="2" w:lineRule="exact"/>
        <w:rPr>
          <w:rFonts w:ascii="Arial" w:cs="Arial" w:eastAsia="Arial" w:hAnsi="Arial"/>
          <w:sz w:val="18"/>
          <w:szCs w:val="18"/>
          <w:color w:val="auto"/>
        </w:rPr>
      </w:pPr>
    </w:p>
    <w:p>
      <w:pPr>
        <w:ind w:left="1080" w:hanging="302"/>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22" w:lineRule="exact"/>
        <w:rPr>
          <w:rFonts w:ascii="Arial" w:cs="Arial" w:eastAsia="Arial" w:hAnsi="Arial"/>
          <w:sz w:val="18"/>
          <w:szCs w:val="18"/>
          <w:color w:val="auto"/>
        </w:rPr>
      </w:pPr>
    </w:p>
    <w:p>
      <w:pPr>
        <w:ind w:left="1100" w:hanging="322"/>
        <w:spacing w:after="0"/>
        <w:tabs>
          <w:tab w:leader="none" w:pos="11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Conflicts of Interest</w:t>
      </w:r>
    </w:p>
    <w:p>
      <w:pPr>
        <w:spacing w:after="0" w:line="144"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 xml:space="preserve">Canadian purchasers are hereby notified that the underwriters are relying on the exemption set out in section 3A.3 or 3A.4, if applicable, of National Instrument 33-105 —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from having to provide certain conflict of interest disclosure in this document.</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Statutory Rights of Action</w:t>
      </w:r>
    </w:p>
    <w:p>
      <w:pPr>
        <w:spacing w:after="0" w:line="144" w:lineRule="exact"/>
        <w:rPr>
          <w:sz w:val="20"/>
          <w:szCs w:val="20"/>
          <w:color w:val="auto"/>
        </w:rPr>
      </w:pPr>
    </w:p>
    <w:p>
      <w:pPr>
        <w:ind w:left="460" w:right="519"/>
        <w:spacing w:after="0" w:line="237"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2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Enforcement of Legal Rights</w:t>
      </w:r>
    </w:p>
    <w:p>
      <w:pPr>
        <w:spacing w:after="0" w:line="131"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Taxation and Eligibility for Investment</w:t>
      </w:r>
    </w:p>
    <w:p>
      <w:pPr>
        <w:spacing w:after="0" w:line="144" w:lineRule="exact"/>
        <w:rPr>
          <w:sz w:val="20"/>
          <w:szCs w:val="20"/>
          <w:color w:val="auto"/>
        </w:rPr>
      </w:pPr>
    </w:p>
    <w:p>
      <w:pPr>
        <w:ind w:left="460" w:right="559"/>
        <w:spacing w:after="0" w:line="261"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Australia</w:t>
      </w:r>
    </w:p>
    <w:p>
      <w:pPr>
        <w:spacing w:after="0" w:line="166" w:lineRule="exact"/>
        <w:rPr>
          <w:sz w:val="20"/>
          <w:szCs w:val="20"/>
          <w:color w:val="auto"/>
        </w:rPr>
      </w:pPr>
    </w:p>
    <w:p>
      <w:pPr>
        <w:ind w:left="460" w:right="699"/>
        <w:spacing w:after="0" w:line="238" w:lineRule="auto"/>
        <w:rPr>
          <w:sz w:val="20"/>
          <w:szCs w:val="20"/>
          <w:color w:val="auto"/>
        </w:rPr>
      </w:pPr>
      <w:r>
        <w:rPr>
          <w:rFonts w:ascii="Arial" w:cs="Arial" w:eastAsia="Arial" w:hAnsi="Arial"/>
          <w:sz w:val="18"/>
          <w:szCs w:val="18"/>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confirm and warrant that you are either:</w:t>
      </w:r>
    </w:p>
    <w:p>
      <w:pPr>
        <w:spacing w:after="0" w:line="36" w:lineRule="exact"/>
        <w:rPr>
          <w:sz w:val="20"/>
          <w:szCs w:val="20"/>
          <w:color w:val="auto"/>
        </w:rPr>
      </w:pPr>
    </w:p>
    <w:p>
      <w:pPr>
        <w:ind w:left="1100" w:hanging="322"/>
        <w:spacing w:after="0"/>
        <w:tabs>
          <w:tab w:leader="none" w:pos="11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36" w:lineRule="exact"/>
        <w:rPr>
          <w:rFonts w:ascii="Arial" w:cs="Arial" w:eastAsia="Arial" w:hAnsi="Arial"/>
          <w:sz w:val="18"/>
          <w:szCs w:val="18"/>
          <w:color w:val="auto"/>
        </w:rPr>
      </w:pPr>
    </w:p>
    <w:p>
      <w:pPr>
        <w:ind w:left="1100" w:right="599" w:hanging="322"/>
        <w:spacing w:after="0" w:line="238" w:lineRule="auto"/>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5" w:lineRule="exact"/>
        <w:rPr>
          <w:rFonts w:ascii="Arial" w:cs="Arial" w:eastAsia="Arial" w:hAnsi="Arial"/>
          <w:sz w:val="18"/>
          <w:szCs w:val="18"/>
          <w:color w:val="auto"/>
        </w:rPr>
      </w:pPr>
    </w:p>
    <w:p>
      <w:pPr>
        <w:ind w:left="1080" w:hanging="302"/>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36" w:lineRule="exact"/>
        <w:rPr>
          <w:rFonts w:ascii="Arial" w:cs="Arial" w:eastAsia="Arial" w:hAnsi="Arial"/>
          <w:sz w:val="18"/>
          <w:szCs w:val="18"/>
          <w:color w:val="auto"/>
        </w:rPr>
      </w:pPr>
    </w:p>
    <w:p>
      <w:pPr>
        <w:ind w:left="1100" w:right="679" w:hanging="322"/>
        <w:spacing w:after="0" w:line="246" w:lineRule="auto"/>
        <w:tabs>
          <w:tab w:leader="none" w:pos="10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55" w:right="1440" w:bottom="1440" w:gutter="0" w:footer="0" w:header="0"/>
        </w:sectPr>
      </w:pPr>
    </w:p>
    <w:bookmarkStart w:id="141" w:name="page142"/>
    <w:bookmarkEnd w:id="141"/>
    <w:p>
      <w:pPr>
        <w:ind w:left="460" w:right="539"/>
        <w:spacing w:after="0"/>
        <w:rPr>
          <w:sz w:val="20"/>
          <w:szCs w:val="20"/>
          <w:color w:val="auto"/>
        </w:rPr>
      </w:pPr>
      <w:r>
        <w:rPr>
          <w:rFonts w:ascii="Arial" w:cs="Arial" w:eastAsia="Arial" w:hAnsi="Arial"/>
          <w:sz w:val="18"/>
          <w:szCs w:val="18"/>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22"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66"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The units are not intended to be offered or sold to and should not be offered or sold to any retail investor in the European Economic Area (the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the Directive 2003/71/EC (as amended, the “Prospectus Directive”). No key information document required by Regulation (EU) No 1286/2014, as amended (the “PRIIPs Regulation”) for offering or selling the units or otherwise making them available to retail investors in the EEA has been prepared. Offering or selling the units or otherwise making them available to any retail investor in the EEA may be unlawful under the PRIIPS Regulation. This prospectus has been prepared on the basis that any offer of the units in any member state of the EEA will be made pursuant to an exemption under the Prospectus Directive from a requirement to publish a prospectus for offers of units. This prospectus is not a prospectus for the purpose of the Prospectus Directive.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22" w:lineRule="exact"/>
        <w:rPr>
          <w:sz w:val="20"/>
          <w:szCs w:val="20"/>
          <w:color w:val="auto"/>
        </w:rPr>
      </w:pPr>
    </w:p>
    <w:p>
      <w:pPr>
        <w:ind w:left="460" w:right="539"/>
        <w:spacing w:after="0" w:line="237" w:lineRule="auto"/>
        <w:rPr>
          <w:sz w:val="20"/>
          <w:szCs w:val="20"/>
          <w:color w:val="auto"/>
        </w:rPr>
      </w:pPr>
      <w:r>
        <w:rPr>
          <w:rFonts w:ascii="Arial" w:cs="Arial" w:eastAsia="Arial" w:hAnsi="Arial"/>
          <w:sz w:val="18"/>
          <w:szCs w:val="18"/>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Israel</w:t>
      </w:r>
    </w:p>
    <w:p>
      <w:pPr>
        <w:spacing w:after="0" w:line="166" w:lineRule="exact"/>
        <w:rPr>
          <w:sz w:val="20"/>
          <w:szCs w:val="20"/>
          <w:color w:val="auto"/>
        </w:rPr>
      </w:pPr>
    </w:p>
    <w:p>
      <w:pPr>
        <w:ind w:left="460" w:right="679"/>
        <w:spacing w:after="0" w:line="234" w:lineRule="auto"/>
        <w:rPr>
          <w:sz w:val="20"/>
          <w:szCs w:val="20"/>
          <w:color w:val="auto"/>
        </w:rPr>
      </w:pPr>
      <w:r>
        <w:rPr>
          <w:rFonts w:ascii="Arial" w:cs="Arial" w:eastAsia="Arial" w:hAnsi="Arial"/>
          <w:sz w:val="18"/>
          <w:szCs w:val="18"/>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units is directed only at, (i) a limited number of persons in accordance with the Israeli Securities Law and</w:t>
      </w:r>
    </w:p>
    <w:p>
      <w:pPr>
        <w:spacing w:after="0" w:line="3" w:lineRule="exact"/>
        <w:rPr>
          <w:sz w:val="20"/>
          <w:szCs w:val="20"/>
          <w:color w:val="auto"/>
        </w:rPr>
      </w:pPr>
    </w:p>
    <w:p>
      <w:pPr>
        <w:ind w:left="460" w:right="599" w:hanging="6"/>
        <w:spacing w:after="0" w:line="236" w:lineRule="auto"/>
        <w:tabs>
          <w:tab w:leader="none" w:pos="71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ectPr>
          <w:pgSz w:w="11900" w:h="16838" w:orient="portrait"/>
          <w:cols w:equalWidth="0" w:num="1">
            <w:col w:w="9019"/>
          </w:cols>
          <w:pgMar w:left="1440" w:top="287" w:right="1440"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5080</wp:posOffset>
            </wp:positionV>
            <wp:extent cx="51435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type w:val="continuous"/>
        </w:sectPr>
      </w:pPr>
    </w:p>
    <w:bookmarkStart w:id="142" w:name="page143"/>
    <w:bookmarkEnd w:id="142"/>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or FIEL, and the Initial Purchaser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53" w:lineRule="exact"/>
        <w:rPr>
          <w:sz w:val="20"/>
          <w:szCs w:val="20"/>
          <w:color w:val="auto"/>
        </w:rPr>
      </w:pPr>
    </w:p>
    <w:p>
      <w:pPr>
        <w:ind w:left="460" w:right="559"/>
        <w:spacing w:after="0" w:line="248"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w:t>
      </w:r>
    </w:p>
    <w:p>
      <w:pPr>
        <w:spacing w:after="0" w:line="4" w:lineRule="exact"/>
        <w:rPr>
          <w:sz w:val="20"/>
          <w:szCs w:val="20"/>
          <w:color w:val="auto"/>
        </w:rPr>
      </w:pPr>
    </w:p>
    <w:p>
      <w:pPr>
        <w:ind w:left="460" w:right="579" w:hanging="6"/>
        <w:spacing w:after="0" w:line="246" w:lineRule="auto"/>
        <w:tabs>
          <w:tab w:leader="none" w:pos="75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29" w:lineRule="exact"/>
        <w:rPr>
          <w:sz w:val="20"/>
          <w:szCs w:val="20"/>
          <w:color w:val="auto"/>
        </w:rPr>
      </w:pPr>
    </w:p>
    <w:p>
      <w:pPr>
        <w:ind w:left="460" w:right="519"/>
        <w:spacing w:after="0" w:line="246" w:lineRule="auto"/>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21" w:lineRule="exact"/>
        <w:rPr>
          <w:sz w:val="20"/>
          <w:szCs w:val="20"/>
          <w:color w:val="auto"/>
        </w:rPr>
      </w:pPr>
    </w:p>
    <w:p>
      <w:pPr>
        <w:jc w:val="both"/>
        <w:ind w:left="1100" w:right="639" w:hanging="322"/>
        <w:spacing w:after="0"/>
        <w:tabs>
          <w:tab w:leader="none" w:pos="10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3" w:lineRule="exact"/>
        <w:rPr>
          <w:rFonts w:ascii="Arial" w:cs="Arial" w:eastAsia="Arial" w:hAnsi="Arial"/>
          <w:sz w:val="18"/>
          <w:szCs w:val="18"/>
          <w:color w:val="auto"/>
        </w:rPr>
      </w:pPr>
    </w:p>
    <w:p>
      <w:pPr>
        <w:ind w:left="1100" w:right="699" w:hanging="322"/>
        <w:spacing w:after="0" w:line="237" w:lineRule="auto"/>
        <w:tabs>
          <w:tab w:leader="none" w:pos="1096"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29" w:lineRule="exact"/>
        <w:rPr>
          <w:rFonts w:ascii="Arial" w:cs="Arial" w:eastAsia="Arial" w:hAnsi="Arial"/>
          <w:sz w:val="18"/>
          <w:szCs w:val="18"/>
          <w:color w:val="auto"/>
        </w:rPr>
      </w:pPr>
    </w:p>
    <w:p>
      <w:pPr>
        <w:jc w:val="both"/>
        <w:ind w:left="1420" w:right="579" w:hanging="318"/>
        <w:spacing w:after="0"/>
        <w:tabs>
          <w:tab w:leader="none" w:pos="1359" w:val="left"/>
        </w:tabs>
        <w:numPr>
          <w:ilvl w:val="1"/>
          <w:numId w:val="8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7" w:lineRule="exact"/>
        <w:rPr>
          <w:rFonts w:ascii="Arial" w:cs="Arial" w:eastAsia="Arial" w:hAnsi="Arial"/>
          <w:sz w:val="18"/>
          <w:szCs w:val="18"/>
          <w:color w:val="auto"/>
        </w:rPr>
      </w:pPr>
    </w:p>
    <w:p>
      <w:pPr>
        <w:ind w:left="1360" w:hanging="258"/>
        <w:spacing w:after="0"/>
        <w:tabs>
          <w:tab w:leader="none" w:pos="13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 w:lineRule="exact"/>
        <w:rPr>
          <w:rFonts w:ascii="Arial" w:cs="Arial" w:eastAsia="Arial" w:hAnsi="Arial"/>
          <w:sz w:val="18"/>
          <w:szCs w:val="18"/>
          <w:color w:val="auto"/>
        </w:rPr>
      </w:pPr>
    </w:p>
    <w:p>
      <w:pPr>
        <w:ind w:left="1360" w:hanging="258"/>
        <w:spacing w:after="0"/>
        <w:tabs>
          <w:tab w:leader="none" w:pos="13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6" w:lineRule="exact"/>
        <w:rPr>
          <w:rFonts w:ascii="Arial" w:cs="Arial" w:eastAsia="Arial" w:hAnsi="Arial"/>
          <w:sz w:val="18"/>
          <w:szCs w:val="18"/>
          <w:color w:val="auto"/>
        </w:rPr>
      </w:pPr>
    </w:p>
    <w:p>
      <w:pPr>
        <w:ind w:left="1360" w:hanging="258"/>
        <w:spacing w:after="0"/>
        <w:tabs>
          <w:tab w:leader="none" w:pos="1360"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36" w:lineRule="exact"/>
        <w:rPr>
          <w:rFonts w:ascii="Arial" w:cs="Arial" w:eastAsia="Arial" w:hAnsi="Arial"/>
          <w:sz w:val="18"/>
          <w:szCs w:val="18"/>
          <w:color w:val="auto"/>
        </w:rPr>
      </w:pPr>
    </w:p>
    <w:p>
      <w:pPr>
        <w:ind w:left="1420" w:right="1119" w:hanging="318"/>
        <w:spacing w:after="0" w:line="246" w:lineRule="auto"/>
        <w:tabs>
          <w:tab w:leader="none" w:pos="1359" w:val="left"/>
        </w:tabs>
        <w:numPr>
          <w:ilvl w:val="1"/>
          <w:numId w:val="8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Switzerland</w:t>
      </w:r>
    </w:p>
    <w:p>
      <w:pPr>
        <w:spacing w:after="0" w:line="153" w:lineRule="exact"/>
        <w:rPr>
          <w:sz w:val="20"/>
          <w:szCs w:val="20"/>
          <w:color w:val="auto"/>
        </w:rPr>
      </w:pPr>
    </w:p>
    <w:p>
      <w:pPr>
        <w:ind w:left="460" w:right="459"/>
        <w:spacing w:after="0" w:line="236" w:lineRule="auto"/>
        <w:rPr>
          <w:sz w:val="20"/>
          <w:szCs w:val="20"/>
          <w:color w:val="auto"/>
        </w:rPr>
      </w:pPr>
      <w:r>
        <w:rPr>
          <w:rFonts w:ascii="Arial" w:cs="Arial" w:eastAsia="Arial" w:hAnsi="Arial"/>
          <w:sz w:val="18"/>
          <w:szCs w:val="18"/>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0" w:lineRule="exact"/>
        <w:rPr>
          <w:sz w:val="20"/>
          <w:szCs w:val="20"/>
          <w:color w:val="auto"/>
        </w:rPr>
      </w:pPr>
    </w:p>
    <w:p>
      <w:pPr>
        <w:ind w:left="460" w:right="639"/>
        <w:spacing w:after="0" w:line="237" w:lineRule="auto"/>
        <w:rPr>
          <w:sz w:val="20"/>
          <w:szCs w:val="20"/>
          <w:color w:val="auto"/>
        </w:rPr>
      </w:pPr>
      <w:r>
        <w:rPr>
          <w:rFonts w:ascii="Arial" w:cs="Arial" w:eastAsia="Arial" w:hAnsi="Arial"/>
          <w:sz w:val="18"/>
          <w:szCs w:val="18"/>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3" w:name="page144"/>
    <w:bookmarkEnd w:id="143"/>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66"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as amended (the “Order”) and/or (ii) high net worth entities falling within Article 49(2)(a) to (d) of the Order and other persons to whom it may lawfully be communicated (each such person being referred to as a “relevant person”).</w:t>
      </w:r>
    </w:p>
    <w:p>
      <w:pPr>
        <w:spacing w:after="0" w:line="124" w:lineRule="exact"/>
        <w:rPr>
          <w:sz w:val="20"/>
          <w:szCs w:val="20"/>
          <w:color w:val="auto"/>
        </w:rPr>
      </w:pPr>
    </w:p>
    <w:p>
      <w:pPr>
        <w:ind w:left="460" w:right="1279"/>
        <w:spacing w:after="0" w:line="234" w:lineRule="auto"/>
        <w:rPr>
          <w:sz w:val="20"/>
          <w:szCs w:val="20"/>
          <w:color w:val="auto"/>
        </w:rPr>
      </w:pPr>
      <w:r>
        <w:rPr>
          <w:rFonts w:ascii="Arial" w:cs="Arial" w:eastAsia="Arial" w:hAnsi="Arial"/>
          <w:sz w:val="18"/>
          <w:szCs w:val="18"/>
          <w:color w:val="auto"/>
        </w:rPr>
        <w:t>This prospectus and its contents are confidential and should not be distributed, published or reproduced (in whole or in part) or disclosed by recipients to any other persons in the</w:t>
      </w:r>
    </w:p>
    <w:p>
      <w:pPr>
        <w:spacing w:after="0" w:line="1" w:lineRule="exact"/>
        <w:rPr>
          <w:sz w:val="20"/>
          <w:szCs w:val="20"/>
          <w:color w:val="auto"/>
        </w:rPr>
      </w:pPr>
    </w:p>
    <w:p>
      <w:pPr>
        <w:ind w:left="460" w:right="799"/>
        <w:spacing w:after="0" w:line="246" w:lineRule="auto"/>
        <w:rPr>
          <w:sz w:val="20"/>
          <w:szCs w:val="20"/>
          <w:color w:val="auto"/>
        </w:rPr>
      </w:pPr>
      <w:r>
        <w:rPr>
          <w:rFonts w:ascii="Arial" w:cs="Arial" w:eastAsia="Arial" w:hAnsi="Arial"/>
          <w:sz w:val="18"/>
          <w:szCs w:val="18"/>
          <w:color w:val="auto"/>
        </w:rPr>
        <w:t>United Kingdom. Any person in the United Kingdom that is not a relevant person should not act or rely on this document or any of its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66" w:lineRule="exact"/>
        <w:rPr>
          <w:sz w:val="20"/>
          <w:szCs w:val="20"/>
          <w:color w:val="auto"/>
        </w:rPr>
      </w:pPr>
    </w:p>
    <w:p>
      <w:pPr>
        <w:ind w:left="460" w:right="619"/>
        <w:spacing w:after="0" w:line="238" w:lineRule="auto"/>
        <w:rPr>
          <w:sz w:val="20"/>
          <w:szCs w:val="20"/>
          <w:color w:val="auto"/>
        </w:rPr>
      </w:pPr>
      <w:r>
        <w:rPr>
          <w:rFonts w:ascii="Arial" w:cs="Arial" w:eastAsia="Arial" w:hAnsi="Arial"/>
          <w:sz w:val="18"/>
          <w:szCs w:val="18"/>
          <w:color w:val="auto"/>
        </w:rPr>
        <w:t>White &amp; Case LLP is acting as counsel in connection with the registration of our securities under the Securities Act, and as such, will pass upon the validity of the securities offered in this prospectus. Skadden, Arps, Slate, Meagher &amp; Flom LLP advised the underwriters in connection with the offering of the securities.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53"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financial statements of FS Development Corp. as of June 30, 2020, and for the period from June 25, 2020 (inception) through June 30,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6"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39" w:lineRule="exact"/>
        <w:rPr>
          <w:sz w:val="20"/>
          <w:szCs w:val="20"/>
          <w:color w:val="auto"/>
        </w:rPr>
      </w:pPr>
    </w:p>
    <w:p>
      <w:pPr>
        <w:jc w:val="both"/>
        <w:ind w:left="460" w:right="639"/>
        <w:spacing w:after="0" w:line="238"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5" w:name="page146"/>
    <w:bookmarkEnd w:id="145"/>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262"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rPr>
              <w:t>Page</w:t>
            </w:r>
          </w:p>
        </w:tc>
      </w:tr>
      <w:tr>
        <w:trPr>
          <w:trHeight w:val="26"/>
        </w:trPr>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7"/>
        </w:trPr>
        <w:tc>
          <w:tcPr>
            <w:tcW w:w="816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8"/>
                <w:szCs w:val="18"/>
                <w:b w:val="1"/>
                <w:bCs w:val="1"/>
                <w:color w:val="auto"/>
              </w:rPr>
              <w:t>Audited Financial Statements of FS Development Corp.:</w:t>
            </w:r>
          </w:p>
        </w:tc>
        <w:tc>
          <w:tcPr>
            <w:tcW w:w="360" w:type="dxa"/>
            <w:vAlign w:val="bottom"/>
            <w:tcBorders>
              <w:bottom w:val="single" w:sz="8" w:color="CCEEFF"/>
            </w:tcBorders>
            <w:shd w:val="clear" w:color="auto" w:fill="CCEEFF"/>
          </w:tcPr>
          <w:p>
            <w:pPr>
              <w:spacing w:after="0"/>
              <w:rPr>
                <w:sz w:val="22"/>
                <w:szCs w:val="22"/>
                <w:color w:val="auto"/>
              </w:rPr>
            </w:pP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Report of Independent Registered Public Accounting Firm</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F-2</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63"/>
        </w:trPr>
        <w:tc>
          <w:tcPr>
            <w:tcW w:w="816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Balance Sheet as of June 30, 2020</w:t>
              </w:r>
            </w:hyperlink>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F-3</w:t>
            </w: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49">
              <w:r>
                <w:rPr>
                  <w:rFonts w:ascii="Arial" w:cs="Arial" w:eastAsia="Arial" w:hAnsi="Arial"/>
                  <w:sz w:val="18"/>
                  <w:szCs w:val="18"/>
                  <w:u w:val="single" w:color="auto"/>
                  <w:color w:val="0000EE"/>
                </w:rPr>
                <w:t>Statement of Operations for the period from June 25, 2020 (inception) through June 30, 2020</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F-4</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175"/>
        </w:trPr>
        <w:tc>
          <w:tcPr>
            <w:tcW w:w="79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rPr>
            </w:pPr>
            <w:hyperlink w:anchor="page150">
              <w:r>
                <w:rPr>
                  <w:rFonts w:ascii="Arial" w:cs="Arial" w:eastAsia="Arial" w:hAnsi="Arial"/>
                  <w:sz w:val="18"/>
                  <w:szCs w:val="18"/>
                  <w:color w:val="0000EE"/>
                </w:rPr>
                <w:t>Statement of Changes in Stockholder’s Equity for the period from June 25, 2020 (inception) through</w:t>
              </w:r>
            </w:hyperlink>
          </w:p>
        </w:tc>
        <w:tc>
          <w:tcPr>
            <w:tcW w:w="200" w:type="dxa"/>
            <w:vAlign w:val="bottom"/>
            <w:tcBorders>
              <w:bottom w:val="single" w:sz="8" w:color="CCEEFF"/>
            </w:tcBorders>
            <w:gridSpan w:val="2"/>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r>
      <w:tr>
        <w:trPr>
          <w:trHeight w:val="230"/>
        </w:trPr>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0000EE"/>
            </w:tcBorders>
            <w:shd w:val="clear" w:color="auto" w:fill="CCEEFF"/>
          </w:tcPr>
          <w:p>
            <w:pPr>
              <w:spacing w:after="0" w:line="182" w:lineRule="exact"/>
              <w:rPr>
                <w:rFonts w:ascii="Arial" w:cs="Arial" w:eastAsia="Arial" w:hAnsi="Arial"/>
                <w:sz w:val="18"/>
                <w:szCs w:val="18"/>
                <w:color w:val="0000EE"/>
              </w:rPr>
            </w:pPr>
            <w:hyperlink w:anchor="page150">
              <w:r>
                <w:rPr>
                  <w:rFonts w:ascii="Arial" w:cs="Arial" w:eastAsia="Arial" w:hAnsi="Arial"/>
                  <w:sz w:val="18"/>
                  <w:szCs w:val="18"/>
                  <w:color w:val="0000EE"/>
                </w:rPr>
                <w:t>June 30, 2020</w:t>
              </w:r>
            </w:hyperlink>
          </w:p>
        </w:tc>
        <w:tc>
          <w:tcPr>
            <w:tcW w:w="6800" w:type="dxa"/>
            <w:vAlign w:val="bottom"/>
            <w:tcBorders>
              <w:bottom w:val="single" w:sz="8" w:color="CCEEFF"/>
            </w:tcBorders>
            <w:gridSpan w:val="3"/>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rPr>
              <w:t>F-5</w:t>
            </w:r>
          </w:p>
        </w:tc>
      </w:tr>
      <w:tr>
        <w:trPr>
          <w:trHeight w:val="257"/>
        </w:trPr>
        <w:tc>
          <w:tcPr>
            <w:tcW w:w="8160" w:type="dxa"/>
            <w:vAlign w:val="bottom"/>
            <w:gridSpan w:val="5"/>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Statement of Cash Flows for the period from June 25, 2020 (inception) through June 30, 2020</w:t>
              </w:r>
            </w:hyperlink>
          </w:p>
        </w:tc>
        <w:tc>
          <w:tcPr>
            <w:tcW w:w="360" w:type="dxa"/>
            <w:vAlign w:val="bottom"/>
          </w:tcPr>
          <w:p>
            <w:pPr>
              <w:jc w:val="center"/>
              <w:spacing w:after="0"/>
              <w:rPr>
                <w:sz w:val="20"/>
                <w:szCs w:val="20"/>
                <w:color w:val="auto"/>
              </w:rPr>
            </w:pPr>
            <w:r>
              <w:rPr>
                <w:rFonts w:ascii="Arial" w:cs="Arial" w:eastAsia="Arial" w:hAnsi="Arial"/>
                <w:sz w:val="18"/>
                <w:szCs w:val="18"/>
                <w:color w:val="auto"/>
              </w:rPr>
              <w:t>F-6</w:t>
            </w:r>
          </w:p>
        </w:tc>
      </w:tr>
      <w:tr>
        <w:trPr>
          <w:trHeight w:val="27"/>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63"/>
        </w:trPr>
        <w:tc>
          <w:tcPr>
            <w:tcW w:w="8160" w:type="dxa"/>
            <w:vAlign w:val="bottom"/>
            <w:tcBorders>
              <w:bottom w:val="single" w:sz="8" w:color="CCEEFF"/>
            </w:tcBorders>
            <w:gridSpan w:val="5"/>
            <w:shd w:val="clear" w:color="auto" w:fill="CCEEFF"/>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Notes to Financial Statements</w:t>
              </w:r>
            </w:hyperlink>
          </w:p>
        </w:tc>
        <w:tc>
          <w:tcPr>
            <w:tcW w:w="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F-7</w:t>
            </w:r>
          </w:p>
        </w:tc>
      </w:tr>
      <w:tr>
        <w:trPr>
          <w:trHeight w:val="392"/>
        </w:trPr>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740" w:type="dxa"/>
            <w:vAlign w:val="bottom"/>
            <w:tcBorders>
              <w:bottom w:val="single" w:sz="8" w:color="auto"/>
            </w:tcBorders>
            <w:gridSpan w:val="2"/>
          </w:tcPr>
          <w:p>
            <w:pPr>
              <w:ind w:left="2540"/>
              <w:spacing w:after="0"/>
              <w:rPr>
                <w:sz w:val="20"/>
                <w:szCs w:val="20"/>
                <w:color w:val="auto"/>
              </w:rPr>
            </w:pPr>
            <w:r>
              <w:rPr>
                <w:rFonts w:ascii="Arial" w:cs="Arial" w:eastAsia="Arial" w:hAnsi="Arial"/>
                <w:sz w:val="18"/>
                <w:szCs w:val="18"/>
                <w:color w:val="auto"/>
              </w:rPr>
              <w:t>F-1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46" w:name="page147"/>
    <w:bookmarkEnd w:id="146"/>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Stockholder and the Board of Directors of</w:t>
      </w:r>
    </w:p>
    <w:p>
      <w:pPr>
        <w:ind w:left="460"/>
        <w:spacing w:after="0"/>
        <w:rPr>
          <w:sz w:val="20"/>
          <w:szCs w:val="20"/>
          <w:color w:val="auto"/>
        </w:rPr>
      </w:pPr>
      <w:r>
        <w:rPr>
          <w:rFonts w:ascii="Arial" w:cs="Arial" w:eastAsia="Arial" w:hAnsi="Arial"/>
          <w:sz w:val="18"/>
          <w:szCs w:val="18"/>
          <w:color w:val="auto"/>
        </w:rPr>
        <w:t>FS Development Corp.</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53" w:lineRule="exact"/>
        <w:rPr>
          <w:sz w:val="20"/>
          <w:szCs w:val="20"/>
          <w:color w:val="auto"/>
        </w:rPr>
      </w:pPr>
    </w:p>
    <w:p>
      <w:pPr>
        <w:ind w:left="460" w:right="499"/>
        <w:spacing w:after="0" w:line="253" w:lineRule="auto"/>
        <w:rPr>
          <w:sz w:val="20"/>
          <w:szCs w:val="20"/>
          <w:color w:val="auto"/>
        </w:rPr>
      </w:pPr>
      <w:r>
        <w:rPr>
          <w:rFonts w:ascii="Arial" w:cs="Arial" w:eastAsia="Arial" w:hAnsi="Arial"/>
          <w:sz w:val="17"/>
          <w:szCs w:val="17"/>
          <w:color w:val="auto"/>
        </w:rPr>
        <w:t>We have audited the accompanying balance sheet of FS Development Corp. (the “Company”) as of June 30, 2020, the related statements of operations, changes in stockholder’s equity and cash flows for the period from June 25, 2020 (inception) through June 30, 2020, and the related notes (collectively referred to as the “financial statements”). In our opinion, the financial statements present fairly, in all material respects, the financial position of the Company as of June 30, 2020, and the results of its operations and its cash flows for the period from June 25, 2020 (inception) through June 30, 2020, in conformity with accounting principles generally accepted in the United States of America.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6"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left="460" w:right="759"/>
        <w:spacing w:after="0" w:line="25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0" w:lineRule="exact"/>
        <w:rPr>
          <w:sz w:val="20"/>
          <w:szCs w:val="20"/>
          <w:color w:val="auto"/>
        </w:rPr>
      </w:pPr>
    </w:p>
    <w:p>
      <w:pPr>
        <w:ind w:left="460" w:right="499"/>
        <w:spacing w:after="0" w:line="23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WithumSmith+Brown, PC</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New York</w:t>
      </w:r>
    </w:p>
    <w:p>
      <w:pPr>
        <w:ind w:left="460"/>
        <w:spacing w:after="0"/>
        <w:rPr>
          <w:sz w:val="20"/>
          <w:szCs w:val="20"/>
          <w:color w:val="auto"/>
        </w:rPr>
      </w:pPr>
      <w:r>
        <w:rPr>
          <w:rFonts w:ascii="Arial" w:cs="Arial" w:eastAsia="Arial" w:hAnsi="Arial"/>
          <w:sz w:val="18"/>
          <w:szCs w:val="18"/>
          <w:color w:val="auto"/>
        </w:rPr>
        <w:t>July 2, 2020</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Current assets: 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associated with proposed public offering</w:t>
            </w:r>
          </w:p>
        </w:tc>
        <w:tc>
          <w:tcPr>
            <w:tcW w:w="3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53,000</w:t>
            </w:r>
          </w:p>
        </w:tc>
        <w:tc>
          <w:tcPr>
            <w:tcW w:w="120" w:type="dxa"/>
            <w:vAlign w:val="bottom"/>
            <w:shd w:val="clear" w:color="auto" w:fill="CCEEFF"/>
          </w:tcPr>
          <w:p>
            <w:pPr>
              <w:spacing w:after="0"/>
              <w:rPr>
                <w:sz w:val="24"/>
                <w:szCs w:val="24"/>
                <w:color w:val="auto"/>
              </w:rPr>
            </w:pPr>
          </w:p>
        </w:tc>
      </w:tr>
      <w:tr>
        <w:trPr>
          <w:trHeight w:val="290"/>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78,000</w:t>
            </w:r>
          </w:p>
        </w:tc>
      </w:tr>
      <w:tr>
        <w:trPr>
          <w:trHeight w:val="366"/>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54,500</w:t>
            </w:r>
          </w:p>
        </w:tc>
        <w:tc>
          <w:tcPr>
            <w:tcW w:w="120" w:type="dxa"/>
            <w:vAlign w:val="bottom"/>
            <w:shd w:val="clear" w:color="auto" w:fill="CCEEFF"/>
          </w:tcPr>
          <w:p>
            <w:pPr>
              <w:spacing w:after="0"/>
              <w:rPr>
                <w:sz w:val="24"/>
                <w:szCs w:val="24"/>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54,500</w:t>
            </w:r>
          </w:p>
        </w:tc>
      </w:tr>
      <w:tr>
        <w:trPr>
          <w:trHeight w:val="385"/>
        </w:trPr>
        <w:tc>
          <w:tcPr>
            <w:tcW w:w="6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Borders>
              <w:top w:val="single" w:sz="8" w:color="auto"/>
              <w:bottom w:val="single" w:sz="8" w:color="CCEEFF"/>
            </w:tcBorders>
            <w:shd w:val="clear" w:color="auto" w:fill="CCEEFF"/>
          </w:tcPr>
          <w:p>
            <w:pPr>
              <w:spacing w:after="0"/>
              <w:rPr>
                <w:sz w:val="24"/>
                <w:szCs w:val="24"/>
                <w:color w:val="auto"/>
              </w:rPr>
            </w:pPr>
          </w:p>
        </w:tc>
        <w:tc>
          <w:tcPr>
            <w:tcW w:w="76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r>
      <w:tr>
        <w:trPr>
          <w:trHeight w:val="378"/>
        </w:trPr>
        <w:tc>
          <w:tcPr>
            <w:tcW w:w="69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$0.0001 par value; 1,000,000 shares authorized; none issued and</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6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rPr>
              <w:t>Class A common stock, $0.0001 par value; 100,000,000 shares authorized; none</w:t>
            </w: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6900" w:type="dxa"/>
            <w:vAlign w:val="bottom"/>
          </w:tcPr>
          <w:p>
            <w:pPr>
              <w:ind w:left="180"/>
              <w:spacing w:after="0"/>
              <w:rPr>
                <w:sz w:val="20"/>
                <w:szCs w:val="20"/>
                <w:color w:val="auto"/>
              </w:rPr>
            </w:pPr>
            <w:r>
              <w:rPr>
                <w:rFonts w:ascii="Arial" w:cs="Arial" w:eastAsia="Arial" w:hAnsi="Arial"/>
                <w:sz w:val="18"/>
                <w:szCs w:val="18"/>
                <w:color w:val="auto"/>
              </w:rPr>
              <w:t>issued and outstanding</w:t>
            </w:r>
          </w:p>
        </w:tc>
        <w:tc>
          <w:tcPr>
            <w:tcW w:w="3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B common stock, $0.0001 par value; 10,000,000 shares authorized; 2,875,000</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4"/>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issued and outstanding</w:t>
            </w:r>
            <w:r>
              <w:rPr>
                <w:rFonts w:ascii="Arial" w:cs="Arial" w:eastAsia="Arial" w:hAnsi="Arial"/>
                <w:sz w:val="20"/>
                <w:szCs w:val="20"/>
                <w:color w:val="auto"/>
                <w:vertAlign w:val="superscript"/>
              </w:rPr>
              <w:t>(1)</w:t>
            </w:r>
          </w:p>
        </w:tc>
        <w:tc>
          <w:tcPr>
            <w:tcW w:w="3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24,712</w:t>
            </w:r>
          </w:p>
        </w:tc>
      </w:tr>
      <w:tr>
        <w:trPr>
          <w:trHeight w:val="27"/>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r>
      <w:tr>
        <w:trPr>
          <w:trHeight w:val="257"/>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23,500</w:t>
            </w:r>
          </w:p>
        </w:tc>
        <w:tc>
          <w:tcPr>
            <w:tcW w:w="120" w:type="dxa"/>
            <w:vAlign w:val="bottom"/>
            <w:tcBorders>
              <w:bottom w:val="single" w:sz="8" w:color="CCEEFF"/>
            </w:tcBorders>
          </w:tcPr>
          <w:p>
            <w:pPr>
              <w:spacing w:after="0"/>
              <w:rPr>
                <w:sz w:val="22"/>
                <w:szCs w:val="22"/>
                <w:color w:val="auto"/>
              </w:rPr>
            </w:pPr>
          </w:p>
        </w:tc>
      </w:tr>
      <w:tr>
        <w:trPr>
          <w:trHeight w:val="256"/>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78,000</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39" w:hanging="426"/>
        <w:spacing w:after="0" w:line="230" w:lineRule="auto"/>
        <w:tabs>
          <w:tab w:leader="none" w:pos="845"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This number includes up to 375,000 shares of Class B common stock subject to forfeiture if the over-allotment option is not exercised in full or in part by the underwriters.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jc w:val="center"/>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690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3"/>
        </w:trPr>
        <w:tc>
          <w:tcPr>
            <w:tcW w:w="6900" w:type="dxa"/>
            <w:vAlign w:val="bottom"/>
            <w:tcBorders>
              <w:top w:val="single" w:sz="8" w:color="CCEEFF"/>
              <w:bottom w:val="single" w:sz="8" w:color="CCEEFF"/>
            </w:tcBorders>
            <w:shd w:val="clear" w:color="auto" w:fill="CCEEFF"/>
          </w:tcPr>
          <w:p>
            <w:pPr>
              <w:spacing w:after="0" w:line="224" w:lineRule="exact"/>
              <w:rPr>
                <w:sz w:val="20"/>
                <w:szCs w:val="20"/>
                <w:color w:val="auto"/>
              </w:rPr>
            </w:pPr>
            <w:r>
              <w:rPr>
                <w:rFonts w:ascii="Arial" w:cs="Arial" w:eastAsia="Arial" w:hAnsi="Arial"/>
                <w:sz w:val="18"/>
                <w:szCs w:val="18"/>
                <w:b w:val="1"/>
                <w:bCs w:val="1"/>
                <w:color w:val="auto"/>
              </w:rPr>
              <w:t>Weighted average shares outstanding, basic and diluted</w:t>
            </w:r>
            <w:r>
              <w:rPr>
                <w:rFonts w:ascii="Arial" w:cs="Arial" w:eastAsia="Arial" w:hAnsi="Arial"/>
                <w:sz w:val="20"/>
                <w:szCs w:val="20"/>
                <w:b w:val="1"/>
                <w:bCs w:val="1"/>
                <w:color w:val="auto"/>
                <w:vertAlign w:val="superscript"/>
              </w:rPr>
              <w:t>(1)</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900" w:type="dxa"/>
            <w:vAlign w:val="bottom"/>
            <w:vMerge w:val="continue"/>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599" w:hanging="426"/>
        <w:spacing w:after="0" w:line="230" w:lineRule="auto"/>
        <w:tabs>
          <w:tab w:leader="none" w:pos="845" w:val="left"/>
        </w:tabs>
        <w:numPr>
          <w:ilvl w:val="0"/>
          <w:numId w:val="88"/>
        </w:numPr>
        <w:rPr>
          <w:rFonts w:ascii="Arial" w:cs="Arial" w:eastAsia="Arial" w:hAnsi="Arial"/>
          <w:sz w:val="13"/>
          <w:szCs w:val="13"/>
          <w:color w:val="auto"/>
        </w:rPr>
      </w:pPr>
      <w:r>
        <w:rPr>
          <w:rFonts w:ascii="Arial" w:cs="Arial" w:eastAsia="Arial" w:hAnsi="Arial"/>
          <w:sz w:val="13"/>
          <w:szCs w:val="13"/>
          <w:color w:val="auto"/>
        </w:rPr>
        <w:t>This number excludes an aggregate of up to 375,000 shares of Class B common stock subject to forfeiture if the over-allotment option is not exercised in full or in part by the underwriters.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jc w:val="center"/>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240"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080" w:type="dxa"/>
            <w:vAlign w:val="bottom"/>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1000" w:type="dxa"/>
            <w:vAlign w:val="bottom"/>
            <w:gridSpan w:val="3"/>
          </w:tcPr>
          <w:p>
            <w:pPr>
              <w:ind w:left="440"/>
              <w:spacing w:after="0"/>
              <w:rPr>
                <w:sz w:val="20"/>
                <w:szCs w:val="20"/>
                <w:color w:val="auto"/>
              </w:rPr>
            </w:pPr>
            <w:r>
              <w:rPr>
                <w:rFonts w:ascii="Arial" w:cs="Arial" w:eastAsia="Arial" w:hAnsi="Arial"/>
                <w:sz w:val="14"/>
                <w:szCs w:val="14"/>
                <w:b w:val="1"/>
                <w:bCs w:val="1"/>
                <w:color w:val="auto"/>
              </w:rPr>
              <w:t>Class A</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4"/>
          </w:tcPr>
          <w:p>
            <w:pPr>
              <w:jc w:val="right"/>
              <w:ind w:right="48"/>
              <w:spacing w:after="0"/>
              <w:rPr>
                <w:sz w:val="20"/>
                <w:szCs w:val="20"/>
                <w:color w:val="auto"/>
              </w:rPr>
            </w:pPr>
            <w:r>
              <w:rPr>
                <w:rFonts w:ascii="Arial" w:cs="Arial" w:eastAsia="Arial" w:hAnsi="Arial"/>
                <w:sz w:val="14"/>
                <w:szCs w:val="14"/>
                <w:b w:val="1"/>
                <w:bCs w:val="1"/>
                <w:color w:val="auto"/>
              </w:rPr>
              <w:t>Class B</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rPr>
              <w:t>Accumulated</w:t>
            </w: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61"/>
        </w:trPr>
        <w:tc>
          <w:tcPr>
            <w:tcW w:w="20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000" w:type="dxa"/>
            <w:vAlign w:val="bottom"/>
            <w:gridSpan w:val="4"/>
            <w:vMerge w:val="continue"/>
          </w:tcPr>
          <w:p>
            <w:pPr>
              <w:spacing w:after="0"/>
              <w:rPr>
                <w:sz w:val="5"/>
                <w:szCs w:val="5"/>
                <w:color w:val="auto"/>
              </w:rPr>
            </w:pPr>
          </w:p>
        </w:tc>
        <w:tc>
          <w:tcPr>
            <w:tcW w:w="9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1500" w:type="dxa"/>
            <w:vAlign w:val="bottom"/>
            <w:gridSpan w:val="5"/>
          </w:tcPr>
          <w:p>
            <w:pPr>
              <w:ind w:left="100"/>
              <w:spacing w:after="0"/>
              <w:rPr>
                <w:sz w:val="20"/>
                <w:szCs w:val="20"/>
                <w:color w:val="auto"/>
              </w:rPr>
            </w:pPr>
            <w:r>
              <w:rPr>
                <w:rFonts w:ascii="Arial" w:cs="Arial" w:eastAsia="Arial" w:hAnsi="Arial"/>
                <w:sz w:val="14"/>
                <w:szCs w:val="14"/>
                <w:b w:val="1"/>
                <w:bCs w:val="1"/>
                <w:color w:val="auto"/>
              </w:rPr>
              <w:t>Shares   Amount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6"/>
                <w:szCs w:val="16"/>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8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
        </w:trPr>
        <w:tc>
          <w:tcPr>
            <w:tcW w:w="20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80" w:type="dxa"/>
            <w:vAlign w:val="bottom"/>
            <w:shd w:val="clear" w:color="auto" w:fill="CCEEFF"/>
          </w:tcPr>
          <w:p>
            <w:pPr>
              <w:spacing w:after="0" w:line="160" w:lineRule="exact"/>
              <w:rPr>
                <w:sz w:val="20"/>
                <w:szCs w:val="20"/>
                <w:color w:val="auto"/>
              </w:rPr>
            </w:pPr>
            <w:r>
              <w:rPr>
                <w:rFonts w:ascii="Arial" w:cs="Arial" w:eastAsia="Arial" w:hAnsi="Arial"/>
                <w:sz w:val="18"/>
                <w:szCs w:val="18"/>
                <w:b w:val="1"/>
                <w:bCs w:val="1"/>
                <w:color w:val="auto"/>
              </w:rPr>
              <w:t>Balance – June 25,</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2020 (inception)</w:t>
            </w:r>
          </w:p>
        </w:tc>
        <w:tc>
          <w:tcPr>
            <w:tcW w:w="1000" w:type="dxa"/>
            <w:vAlign w:val="bottom"/>
            <w:tcBorders>
              <w:bottom w:val="single" w:sz="8" w:color="CCEEFF"/>
            </w:tcBorders>
            <w:gridSpan w:val="3"/>
            <w:shd w:val="clear" w:color="auto" w:fill="CCEEFF"/>
          </w:tcPr>
          <w:p>
            <w:pPr>
              <w:ind w:left="480"/>
              <w:spacing w:after="0"/>
              <w:rPr>
                <w:sz w:val="20"/>
                <w:szCs w:val="20"/>
                <w:color w:val="auto"/>
              </w:rPr>
            </w:pPr>
            <w:r>
              <w:rPr>
                <w:rFonts w:ascii="Arial" w:cs="Arial" w:eastAsia="Arial" w:hAnsi="Arial"/>
                <w:sz w:val="18"/>
                <w:szCs w:val="18"/>
                <w:b w:val="1"/>
                <w:bCs w:val="1"/>
                <w:color w:val="auto"/>
              </w:rPr>
              <w:t>— $</w:t>
            </w:r>
          </w:p>
        </w:tc>
        <w:tc>
          <w:tcPr>
            <w:tcW w:w="5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CCEEFF"/>
            </w:tcBorders>
            <w:gridSpan w:val="4"/>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 $</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2"/>
        </w:trPr>
        <w:tc>
          <w:tcPr>
            <w:tcW w:w="2080" w:type="dxa"/>
            <w:vAlign w:val="bottom"/>
          </w:tcPr>
          <w:p>
            <w:pPr>
              <w:spacing w:after="0" w:line="201" w:lineRule="exact"/>
              <w:rPr>
                <w:sz w:val="20"/>
                <w:szCs w:val="20"/>
                <w:color w:val="auto"/>
              </w:rPr>
            </w:pPr>
            <w:r>
              <w:rPr>
                <w:rFonts w:ascii="Arial" w:cs="Arial" w:eastAsia="Arial" w:hAnsi="Arial"/>
                <w:sz w:val="18"/>
                <w:szCs w:val="18"/>
                <w:color w:val="auto"/>
              </w:rPr>
              <w:t>Issuance of Class B</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ind w:left="180"/>
              <w:spacing w:after="0" w:line="202" w:lineRule="exact"/>
              <w:rPr>
                <w:sz w:val="20"/>
                <w:szCs w:val="20"/>
                <w:color w:val="auto"/>
              </w:rPr>
            </w:pPr>
            <w:r>
              <w:rPr>
                <w:rFonts w:ascii="Arial" w:cs="Arial" w:eastAsia="Arial" w:hAnsi="Arial"/>
                <w:sz w:val="18"/>
                <w:szCs w:val="18"/>
                <w:color w:val="auto"/>
              </w:rPr>
              <w:t>common stock to</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80" w:type="dxa"/>
            <w:vAlign w:val="bottom"/>
          </w:tcPr>
          <w:p>
            <w:pPr>
              <w:ind w:left="180"/>
              <w:spacing w:after="0"/>
              <w:rPr>
                <w:sz w:val="20"/>
                <w:szCs w:val="20"/>
                <w:color w:val="auto"/>
              </w:rPr>
            </w:pPr>
            <w:r>
              <w:rPr>
                <w:rFonts w:ascii="Arial" w:cs="Arial" w:eastAsia="Arial" w:hAnsi="Arial"/>
                <w:sz w:val="18"/>
                <w:szCs w:val="18"/>
                <w:color w:val="auto"/>
              </w:rPr>
              <w:t xml:space="preserve">Sponsor </w:t>
            </w:r>
            <w:r>
              <w:rPr>
                <w:rFonts w:ascii="Arial" w:cs="Arial" w:eastAsia="Arial" w:hAnsi="Arial"/>
                <w:sz w:val="20"/>
                <w:szCs w:val="20"/>
                <w:color w:val="auto"/>
                <w:vertAlign w:val="superscript"/>
              </w:rPr>
              <w:t>(1)</w:t>
            </w:r>
          </w:p>
        </w:tc>
        <w:tc>
          <w:tcPr>
            <w:tcW w:w="10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2,875,000</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24,712</w:t>
            </w:r>
          </w:p>
        </w:tc>
        <w:tc>
          <w:tcPr>
            <w:tcW w:w="160" w:type="dxa"/>
            <w:vAlign w:val="bottom"/>
          </w:tcPr>
          <w:p>
            <w:pPr>
              <w:spacing w:after="0"/>
              <w:rPr>
                <w:sz w:val="21"/>
                <w:szCs w:val="21"/>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160"/>
        </w:trPr>
        <w:tc>
          <w:tcPr>
            <w:tcW w:w="2080" w:type="dxa"/>
            <w:vAlign w:val="bottom"/>
          </w:tcPr>
          <w:p>
            <w:pPr>
              <w:spacing w:after="0" w:line="160" w:lineRule="exact"/>
              <w:rPr>
                <w:sz w:val="20"/>
                <w:szCs w:val="20"/>
                <w:color w:val="auto"/>
              </w:rPr>
            </w:pPr>
            <w:r>
              <w:rPr>
                <w:rFonts w:ascii="Arial" w:cs="Arial" w:eastAsia="Arial" w:hAnsi="Arial"/>
                <w:sz w:val="18"/>
                <w:szCs w:val="18"/>
                <w:b w:val="1"/>
                <w:bCs w:val="1"/>
                <w:color w:val="auto"/>
              </w:rPr>
              <w:t>Balance – June 30,</w:t>
            </w: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2080" w:type="dxa"/>
            <w:vAlign w:val="bottom"/>
          </w:tcPr>
          <w:p>
            <w:pPr>
              <w:ind w:left="180"/>
              <w:spacing w:after="0"/>
              <w:rPr>
                <w:sz w:val="20"/>
                <w:szCs w:val="20"/>
                <w:color w:val="auto"/>
              </w:rPr>
            </w:pPr>
            <w:r>
              <w:rPr>
                <w:rFonts w:ascii="Arial" w:cs="Arial" w:eastAsia="Arial" w:hAnsi="Arial"/>
                <w:sz w:val="18"/>
                <w:szCs w:val="18"/>
                <w:b w:val="1"/>
                <w:bCs w:val="1"/>
                <w:color w:val="auto"/>
              </w:rPr>
              <w:t>2020</w:t>
            </w:r>
          </w:p>
        </w:tc>
        <w:tc>
          <w:tcPr>
            <w:tcW w:w="1000" w:type="dxa"/>
            <w:vAlign w:val="bottom"/>
            <w:gridSpan w:val="3"/>
          </w:tcPr>
          <w:p>
            <w:pPr>
              <w:ind w:left="480"/>
              <w:spacing w:after="0"/>
              <w:rPr>
                <w:sz w:val="20"/>
                <w:szCs w:val="20"/>
                <w:color w:val="auto"/>
              </w:rPr>
            </w:pPr>
            <w:r>
              <w:rPr>
                <w:rFonts w:ascii="Arial" w:cs="Arial" w:eastAsia="Arial" w:hAnsi="Arial"/>
                <w:sz w:val="18"/>
                <w:szCs w:val="18"/>
                <w:b w:val="1"/>
                <w:bCs w:val="1"/>
                <w:color w:val="auto"/>
              </w:rPr>
              <w:t>— $</w:t>
            </w:r>
          </w:p>
        </w:tc>
        <w:tc>
          <w:tcPr>
            <w:tcW w:w="50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2,875,000</w:t>
            </w:r>
          </w:p>
        </w:tc>
        <w:tc>
          <w:tcPr>
            <w:tcW w:w="32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288</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24,712</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(1,500)</w:t>
            </w:r>
          </w:p>
        </w:tc>
        <w:tc>
          <w:tcPr>
            <w:tcW w:w="10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23,500</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639" w:hanging="426"/>
        <w:spacing w:after="0" w:line="230" w:lineRule="auto"/>
        <w:tabs>
          <w:tab w:leader="none" w:pos="845"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This number includes up to 375,000 shares of Class B common stock subject to forfeiture if the over-allotment option is not exercised in full or in part by the underwriters.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jc w:val="center"/>
        <w:ind w:right="19"/>
        <w:spacing w:after="0"/>
        <w:rPr>
          <w:sz w:val="20"/>
          <w:szCs w:val="20"/>
          <w:color w:val="auto"/>
        </w:rPr>
      </w:pPr>
      <w:r>
        <w:rPr>
          <w:rFonts w:ascii="Arial" w:cs="Arial" w:eastAsia="Arial" w:hAnsi="Arial"/>
          <w:sz w:val="18"/>
          <w:szCs w:val="18"/>
          <w:b w:val="1"/>
          <w:bCs w:val="1"/>
          <w:color w:val="auto"/>
        </w:rPr>
        <w:t>For the period from June 25, 2020 (inception) through June 30, 2020</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7"/>
        </w:trPr>
        <w:tc>
          <w:tcPr>
            <w:tcW w:w="6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1797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p>
      <w:pPr>
        <w:spacing w:after="0" w:line="6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issuance of Class B common stock to Sponsor</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2660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266065"/>
                    </a:xfrm>
                    <a:prstGeom prst="rect">
                      <a:avLst/>
                    </a:prstGeom>
                    <a:noFill/>
                  </pic:spPr>
                </pic:pic>
              </a:graphicData>
            </a:graphic>
          </wp:anchor>
        </w:drawing>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Net increase in cash</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 end of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Supplemental disclosure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37465</wp:posOffset>
            </wp:positionV>
            <wp:extent cx="514350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7691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57"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198"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25,000</w:t>
      </w:r>
    </w:p>
    <w:p>
      <w:pPr>
        <w:spacing w:after="0" w:line="212" w:lineRule="exact"/>
        <w:rPr>
          <w:sz w:val="20"/>
          <w:szCs w:val="20"/>
          <w:color w:val="auto"/>
        </w:rPr>
      </w:pPr>
    </w:p>
    <w:p>
      <w:pPr>
        <w:jc w:val="right"/>
        <w:ind w:right="579"/>
        <w:spacing w:after="0"/>
        <w:rPr>
          <w:sz w:val="20"/>
          <w:szCs w:val="20"/>
          <w:color w:val="auto"/>
        </w:rPr>
      </w:pPr>
      <w:r>
        <w:rPr>
          <w:rFonts w:ascii="Arial" w:cs="Arial" w:eastAsia="Arial" w:hAnsi="Arial"/>
          <w:sz w:val="18"/>
          <w:szCs w:val="18"/>
          <w:color w:val="auto"/>
        </w:rPr>
        <w:t>—</w:t>
      </w:r>
    </w:p>
    <w:p>
      <w:pPr>
        <w:spacing w:after="0" w:line="55" w:lineRule="exact"/>
        <w:rPr>
          <w:sz w:val="20"/>
          <w:szCs w:val="20"/>
          <w:color w:val="auto"/>
        </w:rPr>
      </w:pPr>
    </w:p>
    <w:p>
      <w:pPr>
        <w:ind w:left="520" w:hanging="514"/>
        <w:spacing w:after="0"/>
        <w:tabs>
          <w:tab w:leader="none" w:pos="52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37465</wp:posOffset>
            </wp:positionV>
            <wp:extent cx="67691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517" w:lineRule="exact"/>
        <w:rPr>
          <w:sz w:val="20"/>
          <w:szCs w:val="20"/>
          <w:color w:val="auto"/>
        </w:rPr>
      </w:pPr>
    </w:p>
    <w:p>
      <w:pPr>
        <w:sectPr>
          <w:pgSz w:w="11900" w:h="16838" w:orient="portrait"/>
          <w:cols w:equalWidth="0" w:num="2">
            <w:col w:w="6640" w:space="720"/>
            <w:col w:w="1659"/>
          </w:cols>
          <w:pgMar w:left="1440" w:top="333" w:right="1440" w:bottom="1440" w:gutter="0" w:footer="0" w:header="0"/>
          <w:type w:val="continuous"/>
        </w:sectPr>
      </w:pPr>
    </w:p>
    <w:p>
      <w:pPr>
        <w:ind w:left="640"/>
        <w:spacing w:after="0"/>
        <w:tabs>
          <w:tab w:leader="none" w:pos="7340" w:val="left"/>
          <w:tab w:leader="none" w:pos="7860" w:val="left"/>
        </w:tabs>
        <w:rPr>
          <w:sz w:val="20"/>
          <w:szCs w:val="20"/>
          <w:color w:val="auto"/>
        </w:rPr>
      </w:pPr>
      <w:r>
        <w:rPr>
          <w:rFonts w:ascii="Arial" w:cs="Arial" w:eastAsia="Arial" w:hAnsi="Arial"/>
          <w:sz w:val="18"/>
          <w:szCs w:val="18"/>
          <w:color w:val="auto"/>
        </w:rPr>
        <w:t>Deferred offering costs included in accrued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53,000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type w:val="continuous"/>
        </w:sectPr>
      </w:pPr>
    </w:p>
    <w:bookmarkStart w:id="151" w:name="page152"/>
    <w:bookmarkEnd w:id="151"/>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Business Operations and Basis of Presentation</w:t>
      </w:r>
    </w:p>
    <w:p>
      <w:pPr>
        <w:spacing w:after="0" w:line="166" w:lineRule="exact"/>
        <w:rPr>
          <w:sz w:val="20"/>
          <w:szCs w:val="20"/>
          <w:color w:val="auto"/>
        </w:rPr>
      </w:pPr>
    </w:p>
    <w:p>
      <w:pPr>
        <w:ind w:left="460" w:right="519"/>
        <w:spacing w:after="0" w:line="255" w:lineRule="auto"/>
        <w:rPr>
          <w:sz w:val="20"/>
          <w:szCs w:val="20"/>
          <w:color w:val="auto"/>
        </w:rPr>
      </w:pPr>
      <w:r>
        <w:rPr>
          <w:rFonts w:ascii="Arial" w:cs="Arial" w:eastAsia="Arial" w:hAnsi="Arial"/>
          <w:sz w:val="17"/>
          <w:szCs w:val="17"/>
          <w:color w:val="auto"/>
        </w:rPr>
        <w:t>FS Development Corp. (the “Company”) is a blank check company incorporated in Delaware on June 25, 2020. The Company was formed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09"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As of June 30, 2020, the Company had not commenced any operations. All activity for the period from June 25, 2020 (inception) through June 30, 2020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135"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Company’s sponsor is FS Development Holdings, LLC, a Delaware limited liability company (the “Sponsor”). The Company’s ability to commence operations is contingent upon obtaining adequate financial resources through a proposed public offering (the “Proposed Public Offering”) of 10,000,000 units (each, a “Unit” and collectively, the “Units”) at $10.00 per Unit (or 11,500,000 units if the underwriters’ over-allotment option is exercised in full), which is discussed in Note 3, and the sale of 2,666,667 warrants (or 2,866,667 warrants if the underwriters’ over-allotment option is exercised in full) (each, a “Private Placement Warrant” and collectively, the “Private Placement Warrants”), at a price of $1.50 per Private Placement Warrant in a private placement to the Sponsor that will close simultaneously with the Proposed Public Offering.</w:t>
      </w:r>
    </w:p>
    <w:p>
      <w:pPr>
        <w:spacing w:after="0" w:line="139" w:lineRule="exact"/>
        <w:rPr>
          <w:sz w:val="20"/>
          <w:szCs w:val="20"/>
          <w:color w:val="auto"/>
        </w:rPr>
      </w:pPr>
    </w:p>
    <w:p>
      <w:pPr>
        <w:ind w:left="460" w:right="479"/>
        <w:spacing w:after="0" w:line="249"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(as defined below) (net of amounts disbursed to management for working capital purposes and excluding the amount of any deferred underwriting discount held in trust) at the time of the agreement to enter into the initial Business Combination. However, the Company will only complete a Business Combination if the post-transaction company owns or acquires 50% or more of the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Unit sold in the Proposed Public Offering, including the proceeds from the sale of the Private Placement Warrants to the Sponsor, will be held in a trust account (“Trust Account”) located in the United States at JP Morgan Chase Bank, N.A. with Continental Stock Transfer &amp; Trust Company acting as trustee, and invested only in U.S.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 as described below.</w:t>
      </w:r>
    </w:p>
    <w:p>
      <w:pPr>
        <w:spacing w:after="0" w:line="331"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will provide the holders (the “Public Stockholders”) of the Company’s outstanding shares of Class A common stock, par value $0.0001 per share, sold in the Proposed Public Offering (the “Public Shares”)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held in the Trust Account (initially anticipated to be $10.00 per Public Share). The per-share amount to be distributed to Public Stockholders who redeem their Public Shares will not be reduced by the deferred underwriting commissions the Company will pay to the underwriters (as discussed in Note 5). These Public Shares will be recorded at a redemption value and classified as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93" w:lineRule="exact"/>
        <w:rPr>
          <w:sz w:val="20"/>
          <w:szCs w:val="20"/>
          <w:color w:val="auto"/>
        </w:rPr>
      </w:pPr>
    </w:p>
    <w:p>
      <w:pPr>
        <w:ind w:left="460" w:right="499"/>
        <w:spacing w:after="0" w:line="235" w:lineRule="auto"/>
        <w:rPr>
          <w:sz w:val="20"/>
          <w:szCs w:val="20"/>
          <w:color w:val="auto"/>
        </w:rPr>
      </w:pPr>
      <w:r>
        <w:rPr>
          <w:rFonts w:ascii="Arial" w:cs="Arial" w:eastAsia="Arial" w:hAnsi="Arial"/>
          <w:sz w:val="18"/>
          <w:szCs w:val="18"/>
          <w:color w:val="auto"/>
        </w:rPr>
        <w:t>temporary equity upon the completion of the Proposed Public Offering in accordance with the Financial Accounting Standards Board’s (“FASB”) Accounting Standards Codification (“ASC”) Topic 480 “Distinguishing Liabilities from Equity.” The Company will proceed with a Business Combination if a majority of the shares voted are voted in favor of the Business Combination. The Company will not redeem the Public Shares in an amount that would cause its net tangible assets to be less than $5,000,001. If a stockholder vote is not required by law and the Company does not decide to hold a stockholder vote for business or other legal reasons, the Company will, pursuant to its Amended and Restated Certificate of Incorporation (the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Additionally, each public stockholder may elect to redeem their Public Shares irrespective of whether they vote for or against the proposed transaction. If the Company seeks stockholder approval in connection with a Business Combination, the Initial Stockholders (as defined below) have agreed to vote their Founder Shares (as defined below in Note 4) and any Public Shares purchased during or after the Proposed Public Offering in favor of a Business Combination. In addition, the Initial Stockholders have agreed to waive their redemption rights with respect to their Founder Shares and Public Shares in connection with the completion of a Business Combination.</w:t>
      </w:r>
    </w:p>
    <w:p>
      <w:pPr>
        <w:spacing w:after="0" w:line="145" w:lineRule="exact"/>
        <w:rPr>
          <w:sz w:val="20"/>
          <w:szCs w:val="20"/>
          <w:color w:val="auto"/>
        </w:rPr>
      </w:pPr>
    </w:p>
    <w:p>
      <w:pPr>
        <w:ind w:left="460" w:right="539"/>
        <w:spacing w:after="0" w:line="238" w:lineRule="auto"/>
        <w:rPr>
          <w:sz w:val="20"/>
          <w:szCs w:val="20"/>
          <w:color w:val="auto"/>
        </w:rPr>
      </w:pPr>
      <w:r>
        <w:rPr>
          <w:rFonts w:ascii="Arial" w:cs="Arial" w:eastAsia="Arial" w:hAnsi="Arial"/>
          <w:sz w:val="18"/>
          <w:szCs w:val="18"/>
          <w:color w:val="auto"/>
        </w:rPr>
        <w:t>The Certificate of Incorporation will provide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20% or more of the Public Shares, without the prior consent of the Company.</w:t>
      </w:r>
    </w:p>
    <w:p>
      <w:pPr>
        <w:spacing w:after="0" w:line="135" w:lineRule="exact"/>
        <w:rPr>
          <w:sz w:val="20"/>
          <w:szCs w:val="20"/>
          <w:color w:val="auto"/>
        </w:rPr>
      </w:pPr>
    </w:p>
    <w:p>
      <w:pPr>
        <w:ind w:left="460" w:right="579"/>
        <w:spacing w:after="0" w:line="237" w:lineRule="auto"/>
        <w:rPr>
          <w:sz w:val="20"/>
          <w:szCs w:val="20"/>
          <w:color w:val="auto"/>
        </w:rPr>
      </w:pPr>
      <w:r>
        <w:rPr>
          <w:rFonts w:ascii="Arial" w:cs="Arial" w:eastAsia="Arial" w:hAnsi="Arial"/>
          <w:sz w:val="18"/>
          <w:szCs w:val="18"/>
          <w:color w:val="auto"/>
        </w:rPr>
        <w:t>The Sponsor and the Company’s officers and directors (the “Initial Stockholders”) have agreed not to propose an amendment to the Certificate of Incorporation to modify the substance or timing of the Company’s obligation to redeem 100% of the Public Shares if the Company does not complete a Business Combination within the Combination Period (as defined below) or with respect to any other material provisions relating to stockholders’ rights or pre-initial Business Combination activity, unless the Company provides the Public Stockholders with the opportunity to redeem their Public Shares in conjunction with any such amendment.</w:t>
      </w:r>
    </w:p>
    <w:p>
      <w:pPr>
        <w:spacing w:after="0" w:line="122" w:lineRule="exact"/>
        <w:rPr>
          <w:sz w:val="20"/>
          <w:szCs w:val="20"/>
          <w:color w:val="auto"/>
        </w:rPr>
      </w:pPr>
    </w:p>
    <w:p>
      <w:pPr>
        <w:ind w:left="460" w:right="539"/>
        <w:spacing w:after="0" w:line="251" w:lineRule="auto"/>
        <w:rPr>
          <w:sz w:val="20"/>
          <w:szCs w:val="20"/>
          <w:color w:val="auto"/>
        </w:rPr>
      </w:pPr>
      <w:r>
        <w:rPr>
          <w:rFonts w:ascii="Arial" w:cs="Arial" w:eastAsia="Arial" w:hAnsi="Arial"/>
          <w:sz w:val="17"/>
          <w:szCs w:val="17"/>
          <w:color w:val="auto"/>
        </w:rPr>
        <w:t>If the Company is unable to complete a Business Combination within 24 months from the closing of the Proposed Public Offering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remaining stockholders and the board of directors, liquidate and dissolve, subject in each case to the Company’s obligations under Delaware law to provide for claims of creditors and the requirements of other applicable law.</w:t>
      </w:r>
    </w:p>
    <w:p>
      <w:pPr>
        <w:spacing w:after="0" w:line="125" w:lineRule="exact"/>
        <w:rPr>
          <w:sz w:val="20"/>
          <w:szCs w:val="20"/>
          <w:color w:val="auto"/>
        </w:rPr>
      </w:pPr>
    </w:p>
    <w:p>
      <w:pPr>
        <w:ind w:left="460" w:right="519"/>
        <w:spacing w:after="0" w:line="236" w:lineRule="auto"/>
        <w:rPr>
          <w:sz w:val="20"/>
          <w:szCs w:val="20"/>
          <w:color w:val="auto"/>
        </w:rPr>
      </w:pPr>
      <w:r>
        <w:rPr>
          <w:rFonts w:ascii="Arial" w:cs="Arial" w:eastAsia="Arial" w:hAnsi="Arial"/>
          <w:sz w:val="18"/>
          <w:szCs w:val="18"/>
          <w:color w:val="auto"/>
        </w:rPr>
        <w:t>The Initial Stockholders have agreed to waive their rights to liquidating distributions from the Trust Account with respect to the Founder Shares if the Company fails to complete a Business Combination within the Combination Period. However, if the Initial Stockholders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underwriters have agreed to waive their rights to the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In order to protect the amounts held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3" w:name="page154"/>
    <w:bookmarkEnd w:id="153"/>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93"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the Trust Account, the Sponsor has agreed to be liable to the Company if and to the extent any claims by a third party (except for the Company’s independent registered public accounting firm) for services rendered or products sold to the Company, or a prospective target business with which the Company has entered into a letter of intent, confidentiality or other similar agreement or business combination agreement (a “Target”),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provided that such liability will not apply to any claims by a third party or Target that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66" w:lineRule="exact"/>
        <w:rPr>
          <w:sz w:val="20"/>
          <w:szCs w:val="20"/>
          <w:color w:val="auto"/>
        </w:rPr>
      </w:pPr>
    </w:p>
    <w:p>
      <w:pPr>
        <w:ind w:left="460" w:right="479"/>
        <w:spacing w:after="0"/>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35" w:lineRule="exact"/>
        <w:rPr>
          <w:sz w:val="20"/>
          <w:szCs w:val="20"/>
          <w:color w:val="auto"/>
        </w:rPr>
      </w:pPr>
    </w:p>
    <w:p>
      <w:pPr>
        <w:ind w:left="460" w:right="639"/>
        <w:spacing w:after="0" w:line="253" w:lineRule="auto"/>
        <w:rPr>
          <w:sz w:val="20"/>
          <w:szCs w:val="20"/>
          <w:color w:val="auto"/>
        </w:rPr>
      </w:pPr>
      <w:r>
        <w:rPr>
          <w:rFonts w:ascii="Arial" w:cs="Arial" w:eastAsia="Arial" w:hAnsi="Arial"/>
          <w:sz w:val="17"/>
          <w:szCs w:val="17"/>
          <w:color w:val="auto"/>
        </w:rPr>
        <w:t>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“Disclosure of Uncertainties about an Entity’s Ability to Continue as a Going Concern,” management has determined that the Company has access to funds from the Sponsor that are sufficient to fund the working capital needs of the Company until the earlier of the consummation of the Proposed Public Offering or one year from the issuance of these financial statements.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53" w:lineRule="exact"/>
        <w:rPr>
          <w:sz w:val="20"/>
          <w:szCs w:val="20"/>
          <w:color w:val="auto"/>
        </w:rPr>
      </w:pPr>
    </w:p>
    <w:p>
      <w:pPr>
        <w:ind w:left="460" w:right="559"/>
        <w:spacing w:after="0" w:line="236"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39"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4" w:name="page155"/>
    <w:bookmarkEnd w:id="154"/>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66"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limit of $250,000. At June 30, 2020, the Company has not experienced losses on these accounts and management believes the Company is not exposed to significant risks on such accounts.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3" w:lineRule="exact"/>
        <w:rPr>
          <w:sz w:val="20"/>
          <w:szCs w:val="20"/>
          <w:color w:val="auto"/>
        </w:rPr>
      </w:pPr>
    </w:p>
    <w:p>
      <w:pPr>
        <w:jc w:val="both"/>
        <w:ind w:left="460" w:right="799"/>
        <w:spacing w:after="0"/>
        <w:rPr>
          <w:sz w:val="20"/>
          <w:szCs w:val="20"/>
          <w:color w:val="auto"/>
        </w:rPr>
      </w:pPr>
      <w:r>
        <w:rPr>
          <w:rFonts w:ascii="Arial" w:cs="Arial" w:eastAsia="Arial" w:hAnsi="Arial"/>
          <w:sz w:val="18"/>
          <w:szCs w:val="18"/>
          <w:color w:val="auto"/>
        </w:rPr>
        <w:t>The fair value of the Company’s assets and liabilities, which qualify as financial instruments under FASB ASC 820, “Fair Value Measurements and Disclosures,” approximates the carrying amounts represented in the balance sheet.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6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 Associated with the Proposed Public Offering</w:t>
      </w:r>
    </w:p>
    <w:p>
      <w:pPr>
        <w:spacing w:after="0" w:line="166"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to be incurred, will be charged to operations.</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5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loss per share is computed by dividing net loss by the weighted average number of shares of common stock outstanding during the period, excluding common stock subject to forfeiture. Weighted average shares at June 30, 2020 were reduced for the effect of an aggregate of 375,000 shares of Class B common stock that are subject to forfeiture if the over-allotment option is not exercised in full or in part by the underwriters (see Note 6). At June 30, 2020, the Company did not have any dilutive securities and other contracts that could, potentially, be exercised or converted into shares of common stock and then share in the earnings of the Company. As a result, diluted loss per share is the same as basic loss per share for the period presented.</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Deferred tax assets were deemed immaterial as of June 30, 2020.</w:t>
      </w:r>
    </w:p>
    <w:p>
      <w:pPr>
        <w:spacing w:after="0" w:line="139"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June 30, 2020. The Company recognizes accrued interest and penalties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93" w:lineRule="exact"/>
        <w:rPr>
          <w:sz w:val="20"/>
          <w:szCs w:val="20"/>
          <w:color w:val="auto"/>
        </w:rPr>
      </w:pPr>
    </w:p>
    <w:p>
      <w:pPr>
        <w:ind w:left="460" w:right="599"/>
        <w:spacing w:after="0" w:line="237" w:lineRule="auto"/>
        <w:rPr>
          <w:sz w:val="20"/>
          <w:szCs w:val="20"/>
          <w:color w:val="auto"/>
        </w:rPr>
      </w:pPr>
      <w:r>
        <w:rPr>
          <w:rFonts w:ascii="Arial" w:cs="Arial" w:eastAsia="Arial" w:hAnsi="Arial"/>
          <w:sz w:val="18"/>
          <w:szCs w:val="18"/>
          <w:color w:val="auto"/>
        </w:rPr>
        <w:t>related to unrecognized tax benefits as income tax expense. No amounts were accrued for the payment of interest and penalties as of June 30, 2020. The Company is currently not aware of any issues under review that could result in significant payments, accruals or material deviation from its position. The Company is subject to income tax examinations by major taxing authorities since inception. The provision for income taxes was deemed to be de minimis for the period from June 25, 2020 (inception) through June 30, 2020.</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66"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The Company’s management does not believe that any recently issued, but not yet effective, accounting standards if currently adopted would have a material effect on the accompanying financial statements.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66"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Pursuant to the Proposed Public Offering, the Company intends to offer for sale 10,000,000 units at a price of $10.00 per Unit. Each Unit consists of one share of Class A common stock, and one-third of one redeemable warrant (each, a “Public Warrant”). Each Public Warrant entitles the holder to purchase one share of Class A common stock at a price of $11.50 per share, subject to adjustment (see Note 6).</w:t>
      </w:r>
    </w:p>
    <w:p>
      <w:pPr>
        <w:spacing w:after="0" w:line="121" w:lineRule="exact"/>
        <w:rPr>
          <w:sz w:val="20"/>
          <w:szCs w:val="20"/>
          <w:color w:val="auto"/>
        </w:rPr>
      </w:pPr>
    </w:p>
    <w:p>
      <w:pPr>
        <w:jc w:val="both"/>
        <w:ind w:left="460" w:right="479"/>
        <w:spacing w:after="0" w:line="261" w:lineRule="auto"/>
        <w:rPr>
          <w:sz w:val="20"/>
          <w:szCs w:val="20"/>
          <w:color w:val="auto"/>
        </w:rPr>
      </w:pPr>
      <w:r>
        <w:rPr>
          <w:rFonts w:ascii="Arial" w:cs="Arial" w:eastAsia="Arial" w:hAnsi="Arial"/>
          <w:sz w:val="17"/>
          <w:szCs w:val="17"/>
          <w:color w:val="auto"/>
        </w:rPr>
        <w:t>The Company will grant the underwriters a 45-day option from the date of the final prospectus relating to the Proposed Public Offering to purchase up to 1,500,000 additional Units to cover over-allotments, if any, at the Proposed Public Offering price, less underwriting discounts and commissions.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66" w:lineRule="exact"/>
        <w:rPr>
          <w:sz w:val="20"/>
          <w:szCs w:val="20"/>
          <w:color w:val="auto"/>
        </w:rPr>
      </w:pPr>
    </w:p>
    <w:p>
      <w:pPr>
        <w:ind w:left="460" w:right="659"/>
        <w:spacing w:after="0" w:line="236" w:lineRule="auto"/>
        <w:rPr>
          <w:sz w:val="20"/>
          <w:szCs w:val="20"/>
          <w:color w:val="auto"/>
        </w:rPr>
      </w:pPr>
      <w:r>
        <w:rPr>
          <w:rFonts w:ascii="Arial" w:cs="Arial" w:eastAsia="Arial" w:hAnsi="Arial"/>
          <w:sz w:val="18"/>
          <w:szCs w:val="18"/>
          <w:color w:val="auto"/>
        </w:rPr>
        <w:t>On June 30, 2020, the Sponsor purchased 2,875,000 shares of the Company’s Class B common stock, par value $0.0001 per share, (the “Founder Shares”) for an aggregate price of $25,000. The Initial Stockholders have agreed to forfeit up to 375,000 Founder Shares to the extent that the over-allotment option is not exercised in full by the underwriters. The forfeiture will be adjusted to the extent that the over-allotment option is not exercised in full by the underwriters so that the Founder Shares will represent 20.0% of the Company’s issued and outstanding shares after the Proposed Public Offering. If the Company increases or decreases the size of the offering, the Company will effect a stock dividend or share contribution back to capital, as applicable, immediately prior to the consummation of the Proposed Public Offering in such amount as to maintain the Founder Share ownership of the Company’s stockholders prior to the Proposed Public Offering at 20.0% of the Company’s issued and outstanding common stock upon the consummation of the Proposed Public Offering.</w:t>
      </w:r>
    </w:p>
    <w:p>
      <w:pPr>
        <w:spacing w:after="0" w:line="136" w:lineRule="exact"/>
        <w:rPr>
          <w:sz w:val="20"/>
          <w:szCs w:val="20"/>
          <w:color w:val="auto"/>
        </w:rPr>
      </w:pPr>
    </w:p>
    <w:p>
      <w:pPr>
        <w:ind w:left="460" w:right="459"/>
        <w:spacing w:after="0" w:line="235" w:lineRule="auto"/>
        <w:rPr>
          <w:sz w:val="20"/>
          <w:szCs w:val="20"/>
          <w:color w:val="auto"/>
        </w:rPr>
      </w:pPr>
      <w:r>
        <w:rPr>
          <w:rFonts w:ascii="Arial" w:cs="Arial" w:eastAsia="Arial" w:hAnsi="Arial"/>
          <w:sz w:val="18"/>
          <w:szCs w:val="18"/>
          <w:color w:val="auto"/>
        </w:rPr>
        <w:t>The Initial Stockholders has agreed, subject to limited exceptions, not to transfer, assign or sell any of the Founder Shares until the earlier to occur of: (i) one year after the completion of the initial Business Combination and (ii) the date on which the Company completes a liquidation, merger, capital stock exchange or other similar transaction after our initial Business Combination that results in all of the Company’s stockholders having the right to exchange their Class A common stock for cash, securities or other property; except to certain permitted transferees and under certain circumstances. Any permitted transferees will be subject to the same restrictions and other agreements of the Initial Stockholders with respect to any Founder Shares. Notwithstanding the foregoing, if (1) the closing price of the Class A common stock equals or exceeds $12.00 per share (as adjusted for stock splits, stock capitalizations, reorganizations, recapitalizations and the like) for any 20 trading days within any 30-trading day period commencing at least 150 days after the initial Business Combination or (2) if the Company consummates a transaction after the initial Business Combination which results in the Company’s stockholders having the right to exchange their shares for cash, securities or other property, the Founder Shares will be released from the lock-up.</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The Sponsor has agreed to purchase an aggregate of 2,666,667 Private Placement Warrants (or 2,866,667 Private Placement Warrants if the underwriters’ over-allotment option is exercised in full), at a price of $1.50 per Private Placement Warrant ($4.0 million in the aggregate, or $4.3 million if the underwriters’ over-allotment option is exercised in full) in a private placement that will occur simultaneously with the closing of the Proposed Public Offering. Each whole Private Placement Warrant is exercisable for one whole share of Class A common stock at a price of $11.50 per share. A portion of the proceeds from the sale of the Private Placement Warrants to the Sponsor will be added to the proceeds from the Proposed Public Offering to be held in the Trust Account. If the Company does not complete a Business Combination within the Combination Period, the Private Placement Warrants will expire worthless. The Private Placement Warrants will be non-redeemable for cash and exercisable on a cashless basis so long as they are held by the Sponsor or its permitted transferees.</w:t>
      </w:r>
    </w:p>
    <w:p>
      <w:pPr>
        <w:spacing w:after="0" w:line="123" w:lineRule="exact"/>
        <w:rPr>
          <w:sz w:val="20"/>
          <w:szCs w:val="20"/>
          <w:color w:val="auto"/>
        </w:rPr>
      </w:pPr>
    </w:p>
    <w:p>
      <w:pPr>
        <w:ind w:left="460" w:right="519"/>
        <w:spacing w:after="0"/>
        <w:rPr>
          <w:sz w:val="20"/>
          <w:szCs w:val="20"/>
          <w:color w:val="auto"/>
        </w:rPr>
      </w:pPr>
      <w:r>
        <w:rPr>
          <w:rFonts w:ascii="Arial" w:cs="Arial" w:eastAsia="Arial" w:hAnsi="Arial"/>
          <w:sz w:val="18"/>
          <w:szCs w:val="18"/>
          <w:color w:val="auto"/>
        </w:rPr>
        <w:t>The Sponsor and the Company’s officers and directors will agree, subject to limited exceptions, not to transfer, assign or sell any of their Private Placement Warrants until 30 days after the completion of the initial Business Combination.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6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On June 30, 2020, the Sponsor agreed to loan the Company an aggregate of up to $ 200,000 to cover expenses related to the Proposed Public Offering pursuant to a promissory note (the “Note”). This loan is non-interest bearing and payable on the earlier of December 31, 2020 or the completion of the Proposed Public Offering. As of June 30, 2020, the Company has not borrowed any amount under the Note.</w:t>
      </w:r>
    </w:p>
    <w:p>
      <w:pPr>
        <w:spacing w:after="0" w:line="135"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proceeds held outside the Trust Account to repay the Working Capital Loans but no proceeds held in the Trust Account would be used to repay the Working Capital Loans. The Working Capital Loans would either be repaid upon consummation of a Business Combination or, at the lender’s discretion, up to $1.5 million of such Working Capital Loans may be convertible into warrants of the post Business Combination entity at a price of $1.50 per warrant. The warrants would be identical to the Private Placement Warrants. Except for the foregoing, the terms of such Working Capital Loans, if any, have not been determined and no written agreements exist with respect to such loans. To date, the Company had no borrowings under the Working Capital Loans.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53" w:lineRule="exact"/>
        <w:rPr>
          <w:sz w:val="20"/>
          <w:szCs w:val="20"/>
          <w:color w:val="auto"/>
        </w:rPr>
      </w:pPr>
    </w:p>
    <w:p>
      <w:pPr>
        <w:ind w:left="460" w:right="739"/>
        <w:spacing w:after="0" w:line="238" w:lineRule="auto"/>
        <w:rPr>
          <w:sz w:val="20"/>
          <w:szCs w:val="20"/>
          <w:color w:val="auto"/>
        </w:rPr>
      </w:pPr>
      <w:r>
        <w:rPr>
          <w:rFonts w:ascii="Arial" w:cs="Arial" w:eastAsia="Arial" w:hAnsi="Arial"/>
          <w:sz w:val="18"/>
          <w:szCs w:val="18"/>
          <w:color w:val="auto"/>
        </w:rPr>
        <w:t>The Company will enter into an agreement that will provide that, commencing on the date that the Company’s securities are first listed on Nasdaq and continuing until the earlier of the Company’s consummation of a Business Combination and the Company’s liquidation, to the Company will pay the Sponsor a total of $10,000 per month for office space, secretarial and administrative services provided to members of the Company’s management team.</w:t>
      </w:r>
    </w:p>
    <w:p>
      <w:pPr>
        <w:spacing w:after="0" w:line="135" w:lineRule="exact"/>
        <w:rPr>
          <w:sz w:val="20"/>
          <w:szCs w:val="20"/>
          <w:color w:val="auto"/>
        </w:rPr>
      </w:pPr>
    </w:p>
    <w:p>
      <w:pPr>
        <w:ind w:left="460" w:right="519"/>
        <w:spacing w:after="0" w:line="238" w:lineRule="auto"/>
        <w:rPr>
          <w:sz w:val="20"/>
          <w:szCs w:val="20"/>
          <w:color w:val="auto"/>
        </w:rPr>
      </w:pPr>
      <w:r>
        <w:rPr>
          <w:rFonts w:ascii="Arial" w:cs="Arial" w:eastAsia="Arial" w:hAnsi="Arial"/>
          <w:sz w:val="18"/>
          <w:szCs w:val="18"/>
          <w:color w:val="auto"/>
        </w:rPr>
        <w:t>The Sponsor, officers and directors, or any of their respective affiliates will be reimbursed for any out-of-pocket expenses incurred in connection with activities on the Company’s behalf such as identifying potential target businesses and performing due diligence on suitable Business Combinations. The Company’s audit committee will review on a quarterly basis all payments that were made to the Sponsor, officers or directors, or their affiliates.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7" w:name="page158"/>
    <w:bookmarkEnd w:id="157"/>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Commitments and Contingencies</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66"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The holders of Founder Shares, Private Placement Warrants and warrants that may be issued upon conversion of Working Capital Loans, if any, will be entitled to registration rights pursuant to a registration rights agreement to be signed prior to the consummation of the Proposed Public Offering. The holders of these securities are entitled to make up to three demands, excluding short form demands, that the Company register such securities. In addition, the holders have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53" w:lineRule="exact"/>
        <w:rPr>
          <w:sz w:val="20"/>
          <w:szCs w:val="20"/>
          <w:color w:val="auto"/>
        </w:rPr>
      </w:pPr>
    </w:p>
    <w:p>
      <w:pPr>
        <w:ind w:left="460" w:right="579"/>
        <w:spacing w:after="0" w:line="236" w:lineRule="auto"/>
        <w:rPr>
          <w:sz w:val="20"/>
          <w:szCs w:val="20"/>
          <w:color w:val="auto"/>
        </w:rPr>
      </w:pPr>
      <w:r>
        <w:rPr>
          <w:rFonts w:ascii="Arial" w:cs="Arial" w:eastAsia="Arial" w:hAnsi="Arial"/>
          <w:sz w:val="18"/>
          <w:szCs w:val="18"/>
          <w:color w:val="auto"/>
        </w:rPr>
        <w:t>The underwriters will be entitled to an underwriting discount of $0.20 per unit, or $2.0 million in the aggregate (or $2.3 million in the aggregate if the underwriters’ over-allotment option is exercised in full), payable upon the closing of the Proposed Public Offering. $0.35 per unit, or $3.5 million in the aggregate (or approximately $4.0 million in the aggregate if the underwriters’ over-allotment option is exercised in full)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6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Management is currently evaluating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Stockholder’s Equity</w:t>
      </w:r>
    </w:p>
    <w:p>
      <w:pPr>
        <w:spacing w:after="0" w:line="144" w:lineRule="exact"/>
        <w:rPr>
          <w:sz w:val="20"/>
          <w:szCs w:val="20"/>
          <w:color w:val="auto"/>
        </w:rPr>
      </w:pPr>
    </w:p>
    <w:p>
      <w:pPr>
        <w:ind w:left="460" w:right="699"/>
        <w:spacing w:after="0" w:line="253" w:lineRule="auto"/>
        <w:rPr>
          <w:sz w:val="20"/>
          <w:szCs w:val="20"/>
          <w:color w:val="auto"/>
        </w:rPr>
      </w:pPr>
      <w:r>
        <w:rPr>
          <w:rFonts w:ascii="Arial" w:cs="Arial" w:eastAsia="Arial" w:hAnsi="Arial"/>
          <w:sz w:val="18"/>
          <w:szCs w:val="18"/>
          <w:b w:val="1"/>
          <w:bCs w:val="1"/>
          <w:i w:val="1"/>
          <w:iCs w:val="1"/>
          <w:color w:val="auto"/>
        </w:rPr>
        <w:t xml:space="preserve">Class A Common Stock </w:t>
      </w:r>
      <w:r>
        <w:rPr>
          <w:rFonts w:ascii="Arial" w:cs="Arial" w:eastAsia="Arial" w:hAnsi="Arial"/>
          <w:sz w:val="18"/>
          <w:szCs w:val="18"/>
          <w:color w:val="auto"/>
        </w:rPr>
        <w:t>— The Company is authorized to issue 100,000,000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As of June 30, 2020, there were no shares of Class A common stock issued or outstanding.</w:t>
      </w:r>
    </w:p>
    <w:p>
      <w:pPr>
        <w:spacing w:after="0" w:line="88" w:lineRule="exact"/>
        <w:rPr>
          <w:sz w:val="20"/>
          <w:szCs w:val="20"/>
          <w:color w:val="auto"/>
        </w:rPr>
      </w:pPr>
    </w:p>
    <w:p>
      <w:pPr>
        <w:ind w:left="460" w:right="539"/>
        <w:spacing w:after="0"/>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 shares of Class B</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with a par value of $0.0001 per share. On June 30, 2020, the Company issued 2,875,000 shares of Class B common stock, including an aggregate of up to 375,000 shares of Class B common stock that are subject to forfeiture, to the Company by the Initial Stockholders for no consideration to the extent that the underwriters’ over-allotment option is not exercised in full or in part, so that the Initial Stockholders will collectively own 20% of the Company’s issued and outstanding common stock after the Proposed Public Offering.</w:t>
      </w:r>
    </w:p>
    <w:p>
      <w:pPr>
        <w:spacing w:after="0" w:line="139" w:lineRule="exact"/>
        <w:rPr>
          <w:sz w:val="20"/>
          <w:szCs w:val="20"/>
          <w:color w:val="auto"/>
        </w:rPr>
      </w:pPr>
    </w:p>
    <w:p>
      <w:pPr>
        <w:ind w:left="460" w:right="559"/>
        <w:spacing w:after="0"/>
        <w:rPr>
          <w:sz w:val="20"/>
          <w:szCs w:val="20"/>
          <w:color w:val="auto"/>
        </w:rPr>
      </w:pPr>
      <w:r>
        <w:rPr>
          <w:rFonts w:ascii="Arial" w:cs="Arial" w:eastAsia="Arial" w:hAnsi="Arial"/>
          <w:sz w:val="18"/>
          <w:szCs w:val="18"/>
          <w:color w:val="auto"/>
        </w:rPr>
        <w:t>Holders of record of Class A common stock and Class B common stock will vote together as a single class on all matters submitted to a vote of our stockholders, with each share of common stock entitling the holder to one vote except as required by law.</w:t>
      </w:r>
    </w:p>
    <w:p>
      <w:pPr>
        <w:spacing w:after="0" w:line="135" w:lineRule="exact"/>
        <w:rPr>
          <w:sz w:val="20"/>
          <w:szCs w:val="20"/>
          <w:color w:val="auto"/>
        </w:rPr>
      </w:pPr>
    </w:p>
    <w:p>
      <w:pPr>
        <w:ind w:left="460" w:right="499"/>
        <w:spacing w:after="0" w:line="252" w:lineRule="auto"/>
        <w:rPr>
          <w:sz w:val="20"/>
          <w:szCs w:val="20"/>
          <w:color w:val="auto"/>
        </w:rPr>
      </w:pPr>
      <w:r>
        <w:rPr>
          <w:rFonts w:ascii="Arial" w:cs="Arial" w:eastAsia="Arial" w:hAnsi="Arial"/>
          <w:sz w:val="17"/>
          <w:szCs w:val="17"/>
          <w:color w:val="auto"/>
        </w:rPr>
        <w:t>The Class B common stock will automatically convert into Class A common stock concurrently with or immediately following the consummation of the initial Business Combination on a one-for-one basis, subject to 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Stockholder’s Equity </w:t>
      </w:r>
      <w:r>
        <w:rPr>
          <w:rFonts w:ascii="Arial" w:cs="Arial" w:eastAsia="Arial" w:hAnsi="Arial"/>
          <w:sz w:val="18"/>
          <w:szCs w:val="18"/>
          <w:color w:val="auto"/>
        </w:rPr>
        <w:t>(cont.)</w:t>
      </w:r>
    </w:p>
    <w:p>
      <w:pPr>
        <w:spacing w:after="0" w:line="193"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warrants issued upon conversion of Working Capital Loans, provided that such conversion of Founder Shares will never occur on a less than one-for-one basis.</w:t>
      </w:r>
    </w:p>
    <w:p>
      <w:pPr>
        <w:spacing w:after="0" w:line="118" w:lineRule="exact"/>
        <w:rPr>
          <w:sz w:val="20"/>
          <w:szCs w:val="20"/>
          <w:color w:val="auto"/>
        </w:rPr>
      </w:pPr>
    </w:p>
    <w:p>
      <w:pPr>
        <w:ind w:left="460" w:right="599"/>
        <w:spacing w:after="0" w:line="247"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The Company is authorized to issue 1,000,000 shares of preferred stock, par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$0.0001 per share, with such designations, voting and other rights and preferences as may be determined from time to time by the Company’s board of directors. As of June 30, 2020, there were no shares of preferred stock issued or outstanding.</w:t>
      </w:r>
    </w:p>
    <w:p>
      <w:pPr>
        <w:spacing w:after="0" w:line="106"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b w:val="1"/>
          <w:bCs w:val="1"/>
          <w:i w:val="1"/>
          <w:iCs w:val="1"/>
          <w:color w:val="auto"/>
        </w:rPr>
        <w:t xml:space="preserve">Warrants </w:t>
      </w:r>
      <w:r>
        <w:rPr>
          <w:rFonts w:ascii="Arial" w:cs="Arial" w:eastAsia="Arial" w:hAnsi="Arial"/>
          <w:sz w:val="18"/>
          <w:szCs w:val="18"/>
          <w:color w:val="auto"/>
        </w:rPr>
        <w:t>— Public Warrants may only be exercised for a whole number of shares. No fractional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Warrants will be issued upon separation of the Units and only whole Public Warrants will trade. The Public Warrants will become exercisable on the later of (a) 30 days after the completion of a Business Combination or (b) 12 months from the closing of the Proposed Public Offering; provided in each case that the Company has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The Company has agreed that as soon as practicable, but in no event later than 15 business days after the closing of the initial Business Combination, the Company will use its best efforts to file with the SEC and have an effective registration statement covering the shares of Class A common stock issuable upon exercise of the warrants and to maintain a current prospectus relating to those shares of Class A common stock until the warrants expire or are redeemed. If a registration statement covering the Class A common stock issuable upon exercise of the warrants is not effective by the 60</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 it will not be required to file or maintain in effect a registration statement, and in the event the Company does not so elect, it will use our best efforts to register or qualify the shares under applicable blue sky laws to the extent an exemption is not available. The Public Warrants will expire five years after the completion of a Business Combination or earlier upon redemption or liquidation.</w:t>
      </w:r>
    </w:p>
    <w:p>
      <w:pPr>
        <w:spacing w:after="0" w:line="130" w:lineRule="exact"/>
        <w:rPr>
          <w:sz w:val="20"/>
          <w:szCs w:val="20"/>
          <w:color w:val="auto"/>
        </w:rPr>
      </w:pPr>
    </w:p>
    <w:p>
      <w:pPr>
        <w:ind w:left="460" w:right="479"/>
        <w:spacing w:after="0" w:line="235" w:lineRule="auto"/>
        <w:rPr>
          <w:sz w:val="20"/>
          <w:szCs w:val="20"/>
          <w:color w:val="auto"/>
        </w:rPr>
      </w:pPr>
      <w:r>
        <w:rPr>
          <w:rFonts w:ascii="Arial" w:cs="Arial" w:eastAsia="Arial" w:hAnsi="Arial"/>
          <w:sz w:val="18"/>
          <w:szCs w:val="18"/>
          <w:color w:val="auto"/>
        </w:rPr>
        <w:t>The warrants have an exercise price of $11.50 per share, subject to adjustments. 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board of directors and, in the case of any such issuance to the Initial Stockholders or their affiliates, without taking into account any Founder Shares held by the Initial Stockholders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after the day on which the Company consummates its initial Business Combination (such price, the “Market Value”) is below $9.20 per share, the exercise price of the warrants will be adjusted (to the nearest cent) to be equal to 115% of the higher of the Market Value and the Newly Issued Price, the $18.00 per share redemption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Stockholder’s Equity </w:t>
      </w:r>
      <w:r>
        <w:rPr>
          <w:rFonts w:ascii="Arial" w:cs="Arial" w:eastAsia="Arial" w:hAnsi="Arial"/>
          <w:sz w:val="18"/>
          <w:szCs w:val="18"/>
          <w:color w:val="auto"/>
        </w:rPr>
        <w:t>(cont.)</w:t>
      </w:r>
    </w:p>
    <w:p>
      <w:pPr>
        <w:spacing w:after="0" w:line="193" w:lineRule="exact"/>
        <w:rPr>
          <w:sz w:val="20"/>
          <w:szCs w:val="20"/>
          <w:color w:val="auto"/>
        </w:rPr>
      </w:pPr>
    </w:p>
    <w:p>
      <w:pPr>
        <w:ind w:left="460" w:right="639"/>
        <w:spacing w:after="0" w:line="237" w:lineRule="auto"/>
        <w:rPr>
          <w:sz w:val="20"/>
          <w:szCs w:val="20"/>
          <w:color w:val="auto"/>
        </w:rPr>
      </w:pPr>
      <w:r>
        <w:rPr>
          <w:rFonts w:ascii="Arial" w:cs="Arial" w:eastAsia="Arial" w:hAnsi="Arial"/>
          <w:sz w:val="18"/>
          <w:szCs w:val="18"/>
          <w:color w:val="auto"/>
        </w:rPr>
        <w:t>trigger price described below under “Redemption of warrants when the price per share of Class A common stock equals or exceeds $18.00” will be adjusted (to the nearest cent) to be equal to 180% of the higher of the Market Value and the Newly Issued Price, and the $10.00 per share redemption trigger price described below under “Redemption of warrants when the price per share of Class A common Stock equals or exceeds $10.00” will be adjusted (to the nearest cent) to be equal to the higher of the Market Value and the Newly Issued Price.</w:t>
      </w:r>
    </w:p>
    <w:p>
      <w:pPr>
        <w:spacing w:after="0" w:line="137" w:lineRule="exact"/>
        <w:rPr>
          <w:sz w:val="20"/>
          <w:szCs w:val="20"/>
          <w:color w:val="auto"/>
        </w:rPr>
      </w:pPr>
    </w:p>
    <w:p>
      <w:pPr>
        <w:ind w:left="460" w:right="579"/>
        <w:spacing w:after="0" w:line="238" w:lineRule="auto"/>
        <w:rPr>
          <w:sz w:val="20"/>
          <w:szCs w:val="20"/>
          <w:color w:val="auto"/>
        </w:rPr>
      </w:pPr>
      <w:r>
        <w:rPr>
          <w:rFonts w:ascii="Arial" w:cs="Arial" w:eastAsia="Arial" w:hAnsi="Arial"/>
          <w:sz w:val="18"/>
          <w:szCs w:val="18"/>
          <w:color w:val="auto"/>
        </w:rPr>
        <w:t>The Private Placement Warrants are identical to the Public Warrants, except that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202" w:lineRule="exact"/>
        <w:rPr>
          <w:sz w:val="20"/>
          <w:szCs w:val="20"/>
          <w:color w:val="auto"/>
        </w:rPr>
      </w:pPr>
    </w:p>
    <w:p>
      <w:pPr>
        <w:ind w:left="460" w:right="1039"/>
        <w:spacing w:after="0" w:line="246" w:lineRule="auto"/>
        <w:rPr>
          <w:sz w:val="20"/>
          <w:szCs w:val="20"/>
          <w:color w:val="auto"/>
        </w:rPr>
      </w:pPr>
      <w:r>
        <w:rPr>
          <w:rFonts w:ascii="Arial" w:cs="Arial" w:eastAsia="Arial" w:hAnsi="Arial"/>
          <w:sz w:val="18"/>
          <w:szCs w:val="18"/>
          <w:color w:val="auto"/>
        </w:rPr>
        <w:t>Redemption of warrants when the price per share of Class A common stock equals or exceeds $18.00:</w:t>
      </w:r>
    </w:p>
    <w:p>
      <w:pPr>
        <w:spacing w:after="0" w:line="129" w:lineRule="exact"/>
        <w:rPr>
          <w:sz w:val="20"/>
          <w:szCs w:val="20"/>
          <w:color w:val="auto"/>
        </w:rPr>
      </w:pPr>
    </w:p>
    <w:p>
      <w:pPr>
        <w:ind w:left="460" w:right="939"/>
        <w:spacing w:after="0" w:line="246" w:lineRule="auto"/>
        <w:rPr>
          <w:sz w:val="20"/>
          <w:szCs w:val="20"/>
          <w:color w:val="auto"/>
        </w:rPr>
      </w:pPr>
      <w:r>
        <w:rPr>
          <w:rFonts w:ascii="Arial" w:cs="Arial" w:eastAsia="Arial" w:hAnsi="Arial"/>
          <w:sz w:val="18"/>
          <w:szCs w:val="18"/>
          <w:color w:val="auto"/>
        </w:rPr>
        <w:t>Once the warrants become exercisable, the Company may redeem the outstanding warrants for cash:</w:t>
      </w:r>
    </w:p>
    <w:p>
      <w:pPr>
        <w:spacing w:after="0" w:line="8" w:lineRule="exact"/>
        <w:rPr>
          <w:sz w:val="20"/>
          <w:szCs w:val="20"/>
          <w:color w:val="auto"/>
        </w:rPr>
      </w:pPr>
    </w:p>
    <w:p>
      <w:pPr>
        <w:ind w:left="1040" w:hanging="262"/>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36" w:lineRule="exact"/>
        <w:rPr>
          <w:rFonts w:ascii="Arial" w:cs="Arial" w:eastAsia="Arial" w:hAnsi="Arial"/>
          <w:sz w:val="18"/>
          <w:szCs w:val="18"/>
          <w:color w:val="auto"/>
        </w:rPr>
      </w:pPr>
    </w:p>
    <w:p>
      <w:pPr>
        <w:ind w:left="1040" w:hanging="262"/>
        <w:spacing w:after="0"/>
        <w:tabs>
          <w:tab w:leader="none" w:pos="10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36" w:lineRule="exact"/>
        <w:rPr>
          <w:rFonts w:ascii="Arial" w:cs="Arial" w:eastAsia="Arial" w:hAnsi="Arial"/>
          <w:sz w:val="18"/>
          <w:szCs w:val="18"/>
          <w:color w:val="auto"/>
        </w:rPr>
      </w:pPr>
    </w:p>
    <w:p>
      <w:pPr>
        <w:ind w:left="1100" w:right="479" w:hanging="322"/>
        <w:spacing w:after="0" w:line="237" w:lineRule="auto"/>
        <w:tabs>
          <w:tab w:leader="none" w:pos="1039"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 if, and only if, the closing price of Class A common stock equals or exceeds $18.00 per share (as adjusted for adjustments to the number of shares issuable upon exercise or the exercise price of a warrant) for any 20 trading days within a 30-trading day period ending on the third trading day prior to the date on which the Company sends the notice of redemption to the warrant holders.</w:t>
      </w:r>
    </w:p>
    <w:p>
      <w:pPr>
        <w:spacing w:after="0" w:line="205" w:lineRule="exact"/>
        <w:rPr>
          <w:sz w:val="20"/>
          <w:szCs w:val="20"/>
          <w:color w:val="auto"/>
        </w:rPr>
      </w:pPr>
    </w:p>
    <w:p>
      <w:pPr>
        <w:ind w:left="460" w:right="779"/>
        <w:spacing w:after="0" w:line="246" w:lineRule="auto"/>
        <w:rPr>
          <w:sz w:val="20"/>
          <w:szCs w:val="20"/>
          <w:color w:val="auto"/>
        </w:rPr>
      </w:pPr>
      <w:r>
        <w:rPr>
          <w:rFonts w:ascii="Arial" w:cs="Arial" w:eastAsia="Arial" w:hAnsi="Arial"/>
          <w:sz w:val="18"/>
          <w:szCs w:val="18"/>
          <w:color w:val="auto"/>
        </w:rPr>
        <w:t>Redemption of warrants for when the price per share of Class A common stock equals or exceeds $10.00: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the warrants become exercisable, the Company may redeem the outstanding warrants:</w:t>
      </w:r>
    </w:p>
    <w:p>
      <w:pPr>
        <w:spacing w:after="0" w:line="36" w:lineRule="exact"/>
        <w:rPr>
          <w:sz w:val="20"/>
          <w:szCs w:val="20"/>
          <w:color w:val="auto"/>
        </w:rPr>
      </w:pPr>
    </w:p>
    <w:p>
      <w:pPr>
        <w:ind w:left="1040" w:hanging="262"/>
        <w:spacing w:after="0"/>
        <w:tabs>
          <w:tab w:leader="none" w:pos="10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8" w:lineRule="exact"/>
        <w:rPr>
          <w:rFonts w:ascii="Arial" w:cs="Arial" w:eastAsia="Arial" w:hAnsi="Arial"/>
          <w:sz w:val="18"/>
          <w:szCs w:val="18"/>
          <w:color w:val="auto"/>
        </w:rPr>
      </w:pPr>
    </w:p>
    <w:p>
      <w:pPr>
        <w:ind w:left="1100" w:right="599" w:hanging="322"/>
        <w:spacing w:after="0" w:line="262" w:lineRule="auto"/>
        <w:tabs>
          <w:tab w:leader="none" w:pos="1039" w:val="left"/>
        </w:tabs>
        <w:numPr>
          <w:ilvl w:val="0"/>
          <w:numId w:val="92"/>
        </w:numPr>
        <w:rPr>
          <w:rFonts w:ascii="Arial" w:cs="Arial" w:eastAsia="Arial" w:hAnsi="Arial"/>
          <w:sz w:val="17"/>
          <w:szCs w:val="17"/>
          <w:color w:val="auto"/>
        </w:rPr>
      </w:pPr>
      <w:r>
        <w:rPr>
          <w:rFonts w:ascii="Arial" w:cs="Arial" w:eastAsia="Arial" w:hAnsi="Arial"/>
          <w:sz w:val="17"/>
          <w:szCs w:val="17"/>
          <w:color w:val="auto"/>
        </w:rPr>
        <w:t xml:space="preserve">at $0.10 per warrant upon a minimum of 30 days’ prior written notice of redemption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will be able to exercise their warrants on a cashless basis prior to redemption and receive that number of shares determined by reference to an agreed table based on the redemption date and the “fair market value” (as defined below) of Class A common stock;</w:t>
      </w:r>
    </w:p>
    <w:p>
      <w:pPr>
        <w:spacing w:after="0" w:line="1" w:lineRule="exact"/>
        <w:rPr>
          <w:rFonts w:ascii="Arial" w:cs="Arial" w:eastAsia="Arial" w:hAnsi="Arial"/>
          <w:sz w:val="17"/>
          <w:szCs w:val="17"/>
          <w:color w:val="auto"/>
        </w:rPr>
      </w:pPr>
    </w:p>
    <w:p>
      <w:pPr>
        <w:ind w:left="1100" w:right="519" w:hanging="322"/>
        <w:spacing w:after="0" w:line="236" w:lineRule="auto"/>
        <w:tabs>
          <w:tab w:leader="none" w:pos="1039"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and only if, the closing price of Class A common stock equals or exceeds $10.00 per Public Share (as adjusted for adjustments to the number of shares issuable upon exercise or the exercise price of a warrant) for any 20 trading days within the 30-trading day period ending three trading days before the Company sends notice of redemption to the warrant holders; and if the closing price of Class A common stock for any 20 trading days within a 30-trading day period ending three trading days before the Company sends notice of redemption to the warrant holders is less than $18.00 per share (as adjusted for adjustments to the number of shares issuable upon exercise or the exercise price of a warrant), the Private Placement Warrants must also be concurrently called for redemption on the same terms as the outstanding Public Warrants, as described above.</w:t>
      </w:r>
    </w:p>
    <w:p>
      <w:pPr>
        <w:spacing w:after="0" w:line="138"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The “fair market value” of Class A common stock shall mean the volume weighted average price of Class A common stock during the 10 trading days immediately following the date on which the notice of redemption is sent to the holders of warrants. In no event will the warrants be exercisable in connection with this redemption feature for more than 0.361 shares of Class A common stock per warrant (subject to adjustment).</w:t>
      </w:r>
    </w:p>
    <w:p>
      <w:pPr>
        <w:spacing w:after="0" w:line="135"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In no event will the Company be required to net cash settle any warrant.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FS DEVELOPMENT CORP.</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Subsequent Events</w:t>
      </w:r>
    </w:p>
    <w:p>
      <w:pPr>
        <w:spacing w:after="0" w:line="166" w:lineRule="exact"/>
        <w:rPr>
          <w:sz w:val="20"/>
          <w:szCs w:val="20"/>
          <w:color w:val="auto"/>
        </w:rPr>
      </w:pPr>
    </w:p>
    <w:p>
      <w:pPr>
        <w:ind w:left="460" w:right="499"/>
        <w:spacing w:after="0" w:line="238"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July 2, 2020, the date that the financial statements were available to be issued. Based on this review, the Company did not identify any subsequent events that would have required adjustment or disclosure in the financial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1202690</wp:posOffset>
            </wp:positionH>
            <wp:positionV relativeFrom="page">
              <wp:posOffset>132080</wp:posOffset>
            </wp:positionV>
            <wp:extent cx="5143500"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174625</wp:posOffset>
            </wp:positionV>
            <wp:extent cx="5143500"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26035"/>
                    </a:xfrm>
                    <a:prstGeom prst="rect">
                      <a:avLst/>
                    </a:prstGeom>
                    <a:noFill/>
                  </pic:spPr>
                </pic:pic>
              </a:graphicData>
            </a:graphic>
          </wp:anchor>
        </w:drawing>
        <w:t>10,000,000 Units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FS Development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______________________</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PRELIMINARY PROSPECTUS</w:t>
      </w:r>
    </w:p>
    <w:p>
      <w:pPr>
        <w:spacing w:after="0" w:line="1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Until (25 days after the date of this prospectus), all dealers that buy, sell or trade our common stock,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102" w:lineRule="exact"/>
        <w:rPr>
          <w:sz w:val="20"/>
          <w:szCs w:val="20"/>
          <w:color w:val="auto"/>
        </w:rPr>
      </w:pPr>
    </w:p>
    <w:p>
      <w:pPr>
        <w:ind w:left="460" w:right="599"/>
        <w:spacing w:after="0" w:line="259" w:lineRule="auto"/>
        <w:rPr>
          <w:sz w:val="20"/>
          <w:szCs w:val="20"/>
          <w:color w:val="auto"/>
        </w:rPr>
      </w:pPr>
      <w:r>
        <w:rPr>
          <w:rFonts w:ascii="Arial" w:cs="Arial" w:eastAsia="Arial" w:hAnsi="Arial"/>
          <w:sz w:val="17"/>
          <w:szCs w:val="17"/>
          <w:b w:val="1"/>
          <w:bCs w:val="1"/>
          <w:color w:val="auto"/>
        </w:rPr>
        <w:t>You should rely only on the information contained in this prospectus. We have not, and the underwriters have not, authorized anyone to provide you with different information. If anyone provides you with different or inconsistent information, you should not rely on it. We are not, and the underwriters are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98" w:lineRule="exact"/>
        <w:rPr>
          <w:sz w:val="20"/>
          <w:szCs w:val="20"/>
          <w:color w:val="auto"/>
        </w:rPr>
      </w:pPr>
    </w:p>
    <w:p>
      <w:pPr>
        <w:ind w:left="460" w:right="499"/>
        <w:spacing w:after="0"/>
        <w:rPr>
          <w:sz w:val="20"/>
          <w:szCs w:val="20"/>
          <w:color w:val="auto"/>
        </w:rPr>
      </w:pPr>
      <w:r>
        <w:rPr>
          <w:rFonts w:ascii="Arial" w:cs="Arial" w:eastAsia="Arial" w:hAnsi="Arial"/>
          <w:sz w:val="18"/>
          <w:szCs w:val="18"/>
          <w:b w:val="1"/>
          <w:bCs w:val="1"/>
          <w:color w:val="auto"/>
        </w:rPr>
        <w:t>No dealer, salesperson or any other person is authorized to give any information or make any representations in connection with this offering other than those contained in this prospectus and, if given or made, the information or representations must not be relied upon as having been authorized by us. This prospectus does not constitute an offer to sell or a solicitation of an offer to buy any security other than the securities offered by this prospectus, or an offer to sell or a solicitation of an offer to buy any securities by anyone in any jurisdiction in which the offer or solicitation is not authorized or is unlawful.</w:t>
      </w:r>
    </w:p>
    <w:p>
      <w:pPr>
        <w:spacing w:after="0" w:line="185"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328930</wp:posOffset>
            </wp:positionV>
            <wp:extent cx="514350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371475</wp:posOffset>
            </wp:positionV>
            <wp:extent cx="5143500"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645795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707"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PART II</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66" w:lineRule="exact"/>
        <w:rPr>
          <w:sz w:val="20"/>
          <w:szCs w:val="20"/>
          <w:color w:val="auto"/>
        </w:rPr>
      </w:pPr>
    </w:p>
    <w:p>
      <w:pPr>
        <w:ind w:left="460" w:right="719"/>
        <w:spacing w:after="0" w:line="246"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expenses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FINRA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3"/>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Travel and road show expenses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r>
      <w:tr>
        <w:trPr>
          <w:trHeight w:val="257"/>
        </w:trPr>
        <w:tc>
          <w:tcPr>
            <w:tcW w:w="69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325,000</w:t>
            </w:r>
          </w:p>
        </w:tc>
      </w:tr>
      <w:tr>
        <w:trPr>
          <w:trHeight w:val="27"/>
        </w:trPr>
        <w:tc>
          <w:tcPr>
            <w:tcW w:w="6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64"/>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Nasdaq listing and filing fees</w:t>
            </w: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r>
      <w:tr>
        <w:trPr>
          <w:trHeight w:val="283"/>
        </w:trPr>
        <w:tc>
          <w:tcPr>
            <w:tcW w:w="6900" w:type="dxa"/>
            <w:vAlign w:val="bottom"/>
          </w:tcPr>
          <w:p>
            <w:pPr>
              <w:spacing w:after="0"/>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20"/>
                <w:szCs w:val="20"/>
                <w:color w:val="auto"/>
                <w:vertAlign w:val="superscript"/>
              </w:rPr>
              <w:t>(1)</w:t>
            </w: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8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4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327,000</w:t>
            </w:r>
          </w:p>
        </w:tc>
      </w:tr>
      <w:tr>
        <w:trPr>
          <w:trHeight w:val="250"/>
        </w:trPr>
        <w:tc>
          <w:tcPr>
            <w:tcW w:w="6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1,000,000</w:t>
            </w:r>
          </w:p>
        </w:tc>
      </w:tr>
      <w:tr>
        <w:trPr>
          <w:trHeight w:val="20"/>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80" w:right="839" w:hanging="426"/>
        <w:spacing w:after="0" w:line="230" w:lineRule="auto"/>
        <w:tabs>
          <w:tab w:leader="none" w:pos="845" w:val="left"/>
        </w:tabs>
        <w:numPr>
          <w:ilvl w:val="0"/>
          <w:numId w:val="93"/>
        </w:numPr>
        <w:rPr>
          <w:rFonts w:ascii="Arial" w:cs="Arial" w:eastAsia="Arial" w:hAnsi="Arial"/>
          <w:sz w:val="13"/>
          <w:szCs w:val="13"/>
          <w:color w:val="auto"/>
        </w:rPr>
      </w:pPr>
      <w:r>
        <w:rPr>
          <w:rFonts w:ascii="Arial" w:cs="Arial" w:eastAsia="Arial" w:hAnsi="Arial"/>
          <w:sz w:val="13"/>
          <w:szCs w:val="13"/>
          <w:color w:val="auto"/>
        </w:rPr>
        <w:t>This amount represents the approximate amount of annual director and officer liability insurance premiums the registrant anticipates paying following the completion of its initial public offering and until it completes an initial business combination.</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53" w:lineRule="exact"/>
        <w:rPr>
          <w:sz w:val="20"/>
          <w:szCs w:val="20"/>
          <w:color w:val="auto"/>
        </w:rPr>
      </w:pPr>
    </w:p>
    <w:p>
      <w:pPr>
        <w:ind w:left="460" w:right="659"/>
        <w:spacing w:after="0" w:line="238" w:lineRule="auto"/>
        <w:rPr>
          <w:sz w:val="20"/>
          <w:szCs w:val="20"/>
          <w:color w:val="auto"/>
        </w:rPr>
      </w:pPr>
      <w:r>
        <w:rPr>
          <w:rFonts w:ascii="Arial" w:cs="Arial" w:eastAsia="Arial" w:hAnsi="Arial"/>
          <w:sz w:val="18"/>
          <w:szCs w:val="18"/>
          <w:color w:val="auto"/>
        </w:rPr>
        <w:t>Our amended and restated certificate of incorporation will provide that all of our directors, officers, employees and agents shall be entitled to be indemnified by us to the fullest extent permitted by Section 145 of the Delaware General Corporation Law (“DGCL”). Section 145 of the Delaware General Corporation Law concerning indemnification of officers, directors, employees and agents is set forth below.</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36" w:lineRule="exact"/>
        <w:rPr>
          <w:sz w:val="20"/>
          <w:szCs w:val="20"/>
          <w:color w:val="auto"/>
        </w:rPr>
      </w:pPr>
    </w:p>
    <w:p>
      <w:pPr>
        <w:ind w:left="1100" w:right="479" w:hanging="322"/>
        <w:spacing w:after="0" w:line="235" w:lineRule="auto"/>
        <w:tabs>
          <w:tab w:leader="none" w:pos="108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4" w:lineRule="exact"/>
        <w:rPr>
          <w:rFonts w:ascii="Arial" w:cs="Arial" w:eastAsia="Arial" w:hAnsi="Arial"/>
          <w:sz w:val="18"/>
          <w:szCs w:val="18"/>
          <w:color w:val="auto"/>
        </w:rPr>
      </w:pPr>
    </w:p>
    <w:p>
      <w:pPr>
        <w:ind w:left="1100" w:right="499" w:hanging="322"/>
        <w:spacing w:after="0" w:line="236" w:lineRule="auto"/>
        <w:tabs>
          <w:tab w:leader="none" w:pos="108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3" w:name="page164"/>
    <w:bookmarkEnd w:id="163"/>
    <w:p>
      <w:pPr>
        <w:ind w:left="1100" w:right="459"/>
        <w:spacing w:after="0" w:line="238" w:lineRule="auto"/>
        <w:rPr>
          <w:sz w:val="20"/>
          <w:szCs w:val="20"/>
          <w:color w:val="auto"/>
        </w:rPr>
      </w:pPr>
      <w:r>
        <w:rPr>
          <w:rFonts w:ascii="Arial" w:cs="Arial" w:eastAsia="Arial" w:hAnsi="Arial"/>
          <w:sz w:val="18"/>
          <w:szCs w:val="18"/>
          <w:color w:val="auto"/>
        </w:rPr>
        <w:t>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3" w:lineRule="exact"/>
        <w:rPr>
          <w:sz w:val="20"/>
          <w:szCs w:val="20"/>
          <w:color w:val="auto"/>
        </w:rPr>
      </w:pPr>
    </w:p>
    <w:p>
      <w:pPr>
        <w:ind w:left="1100" w:right="599" w:hanging="322"/>
        <w:spacing w:after="0" w:line="238" w:lineRule="auto"/>
        <w:tabs>
          <w:tab w:leader="none" w:pos="108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26" w:lineRule="exact"/>
        <w:rPr>
          <w:rFonts w:ascii="Arial" w:cs="Arial" w:eastAsia="Arial" w:hAnsi="Arial"/>
          <w:sz w:val="18"/>
          <w:szCs w:val="18"/>
          <w:color w:val="auto"/>
        </w:rPr>
      </w:pPr>
    </w:p>
    <w:p>
      <w:pPr>
        <w:ind w:left="1100" w:right="459" w:hanging="322"/>
        <w:spacing w:after="0" w:line="236" w:lineRule="auto"/>
        <w:tabs>
          <w:tab w:leader="none" w:pos="108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30" w:lineRule="exact"/>
        <w:rPr>
          <w:rFonts w:ascii="Arial" w:cs="Arial" w:eastAsia="Arial" w:hAnsi="Arial"/>
          <w:sz w:val="18"/>
          <w:szCs w:val="18"/>
          <w:color w:val="auto"/>
        </w:rPr>
      </w:pPr>
    </w:p>
    <w:p>
      <w:pPr>
        <w:ind w:left="1100" w:right="559" w:hanging="322"/>
        <w:spacing w:after="0" w:line="236" w:lineRule="auto"/>
        <w:tabs>
          <w:tab w:leader="none" w:pos="10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8" w:lineRule="exact"/>
        <w:rPr>
          <w:rFonts w:ascii="Arial" w:cs="Arial" w:eastAsia="Arial" w:hAnsi="Arial"/>
          <w:sz w:val="18"/>
          <w:szCs w:val="18"/>
          <w:color w:val="auto"/>
        </w:rPr>
      </w:pPr>
    </w:p>
    <w:p>
      <w:pPr>
        <w:ind w:left="1100" w:right="499" w:hanging="322"/>
        <w:spacing w:after="0" w:line="236" w:lineRule="auto"/>
        <w:tabs>
          <w:tab w:leader="none" w:pos="1043"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8" w:lineRule="exact"/>
        <w:rPr>
          <w:rFonts w:ascii="Arial" w:cs="Arial" w:eastAsia="Arial" w:hAnsi="Arial"/>
          <w:sz w:val="18"/>
          <w:szCs w:val="18"/>
          <w:color w:val="auto"/>
        </w:rPr>
      </w:pPr>
    </w:p>
    <w:p>
      <w:pPr>
        <w:ind w:left="1100" w:right="499" w:hanging="322"/>
        <w:spacing w:after="0" w:line="237" w:lineRule="auto"/>
        <w:tabs>
          <w:tab w:leader="none" w:pos="1086"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7"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6" w:lineRule="exact"/>
        <w:rPr>
          <w:rFonts w:ascii="Arial" w:cs="Arial" w:eastAsia="Arial" w:hAnsi="Arial"/>
          <w:sz w:val="18"/>
          <w:szCs w:val="18"/>
          <w:color w:val="auto"/>
        </w:rPr>
      </w:pPr>
    </w:p>
    <w:p>
      <w:pPr>
        <w:ind w:left="1100" w:right="539" w:hanging="322"/>
        <w:spacing w:after="0" w:line="238" w:lineRule="auto"/>
        <w:tabs>
          <w:tab w:leader="none" w:pos="1086"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64" w:name="page165"/>
    <w:bookmarkEnd w:id="164"/>
    <w:p>
      <w:pPr>
        <w:ind w:left="1100" w:right="659"/>
        <w:spacing w:after="0" w:line="238" w:lineRule="auto"/>
        <w:rPr>
          <w:sz w:val="20"/>
          <w:szCs w:val="20"/>
          <w:color w:val="auto"/>
        </w:rPr>
      </w:pPr>
      <w:r>
        <w:rPr>
          <w:rFonts w:ascii="Arial" w:cs="Arial" w:eastAsia="Arial" w:hAnsi="Arial"/>
          <w:sz w:val="18"/>
          <w:szCs w:val="18"/>
          <w:color w:val="auto"/>
        </w:rPr>
        <w:t>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3" w:lineRule="exact"/>
        <w:rPr>
          <w:sz w:val="20"/>
          <w:szCs w:val="20"/>
          <w:color w:val="auto"/>
        </w:rPr>
      </w:pPr>
    </w:p>
    <w:p>
      <w:pPr>
        <w:ind w:left="1100" w:right="599" w:hanging="322"/>
        <w:spacing w:after="0" w:line="238" w:lineRule="auto"/>
        <w:tabs>
          <w:tab w:leader="none" w:pos="108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29" w:lineRule="exact"/>
        <w:rPr>
          <w:rFonts w:ascii="Arial" w:cs="Arial" w:eastAsia="Arial" w:hAnsi="Arial"/>
          <w:sz w:val="18"/>
          <w:szCs w:val="18"/>
          <w:color w:val="auto"/>
        </w:rPr>
      </w:pPr>
    </w:p>
    <w:p>
      <w:pPr>
        <w:ind w:left="1100" w:right="559" w:hanging="322"/>
        <w:spacing w:after="0" w:line="238" w:lineRule="auto"/>
        <w:tabs>
          <w:tab w:leader="none" w:pos="1083"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Court of Chancery is hereby vested with exclusive jurisdiction to hear and determine all actions for advancement of expenses or indemnification brought under this section or under any by law, agreement, vote of stockholders or disinterested directors, or otherwise. The Court of Chancery may summarily determine a corporation’s obligation to advance expenses (including attorneys’ fees).</w:t>
      </w:r>
    </w:p>
    <w:p>
      <w:pPr>
        <w:spacing w:after="0" w:line="135"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24" w:lineRule="exact"/>
        <w:rPr>
          <w:sz w:val="20"/>
          <w:szCs w:val="20"/>
          <w:color w:val="auto"/>
        </w:rPr>
      </w:pPr>
    </w:p>
    <w:p>
      <w:pPr>
        <w:ind w:left="460" w:right="479"/>
        <w:spacing w:after="0" w:line="236" w:lineRule="auto"/>
        <w:rPr>
          <w:sz w:val="20"/>
          <w:szCs w:val="20"/>
          <w:color w:val="auto"/>
        </w:rPr>
      </w:pPr>
      <w:r>
        <w:rPr>
          <w:rFonts w:ascii="Arial" w:cs="Arial" w:eastAsia="Arial" w:hAnsi="Arial"/>
          <w:sz w:val="18"/>
          <w:szCs w:val="18"/>
          <w:color w:val="auto"/>
        </w:rPr>
        <w:t>In accordance with Section 102(b)(7) of the DGCL, our amended and restated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The effect of this provision of our amended and restated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37" w:lineRule="exact"/>
        <w:rPr>
          <w:sz w:val="20"/>
          <w:szCs w:val="20"/>
          <w:color w:val="auto"/>
        </w:rPr>
      </w:pPr>
    </w:p>
    <w:p>
      <w:pPr>
        <w:ind w:left="460" w:right="599"/>
        <w:spacing w:after="0" w:line="236" w:lineRule="auto"/>
        <w:rPr>
          <w:sz w:val="20"/>
          <w:szCs w:val="20"/>
          <w:color w:val="auto"/>
        </w:rPr>
      </w:pPr>
      <w:r>
        <w:rPr>
          <w:rFonts w:ascii="Arial" w:cs="Arial" w:eastAsia="Arial" w:hAnsi="Arial"/>
          <w:sz w:val="18"/>
          <w:szCs w:val="18"/>
          <w:color w:val="auto"/>
        </w:rPr>
        <w:t>If the DGCL is amended to authorize corporate action further eliminating or limiting the liability of directors, then, in accordance with our amended and restated certificate of incorporation, the liability of our directors to us or our stockholders will be eliminated or limited to the fullest extent authorized by the DGCL, as so amended. Any repeal or amendment of provisions of our amended and restated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140" w:lineRule="exact"/>
        <w:rPr>
          <w:sz w:val="20"/>
          <w:szCs w:val="20"/>
          <w:color w:val="auto"/>
        </w:rPr>
      </w:pPr>
    </w:p>
    <w:p>
      <w:pPr>
        <w:ind w:left="460" w:right="719"/>
        <w:spacing w:after="0" w:line="236" w:lineRule="auto"/>
        <w:rPr>
          <w:sz w:val="20"/>
          <w:szCs w:val="20"/>
          <w:color w:val="auto"/>
        </w:rPr>
      </w:pPr>
      <w:r>
        <w:rPr>
          <w:rFonts w:ascii="Arial" w:cs="Arial" w:eastAsia="Arial" w:hAnsi="Arial"/>
          <w:sz w:val="18"/>
          <w:szCs w:val="18"/>
          <w:color w:val="auto"/>
        </w:rPr>
        <w:t>Our amended and restated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w:t>
      </w:r>
    </w:p>
    <w:p>
      <w:pPr>
        <w:spacing w:after="0" w:line="126" w:lineRule="exact"/>
        <w:rPr>
          <w:sz w:val="20"/>
          <w:szCs w:val="20"/>
          <w:color w:val="auto"/>
        </w:rPr>
      </w:pPr>
    </w:p>
    <w:p>
      <w:pPr>
        <w:ind w:left="460" w:right="559"/>
        <w:spacing w:after="0" w:line="238" w:lineRule="auto"/>
        <w:rPr>
          <w:sz w:val="20"/>
          <w:szCs w:val="20"/>
          <w:color w:val="auto"/>
        </w:rPr>
      </w:pPr>
      <w:r>
        <w:rPr>
          <w:rFonts w:ascii="Arial" w:cs="Arial" w:eastAsia="Arial" w:hAnsi="Arial"/>
          <w:sz w:val="18"/>
          <w:szCs w:val="18"/>
          <w:color w:val="auto"/>
        </w:rPr>
        <w:t>Notwithstanding the foregoing, a person eligible for indemnification pursuant to our amended and restated certificate of incorporation will be indemnified by us in connection with a proceeding initiated by such person only if such proceeding was authorized by our board of directors, except for proceedings to enforce rights to indemnification.</w:t>
      </w:r>
    </w:p>
    <w:p>
      <w:pPr>
        <w:spacing w:after="0" w:line="137" w:lineRule="exact"/>
        <w:rPr>
          <w:sz w:val="20"/>
          <w:szCs w:val="20"/>
          <w:color w:val="auto"/>
        </w:rPr>
      </w:pPr>
    </w:p>
    <w:p>
      <w:pPr>
        <w:ind w:left="460" w:right="1019"/>
        <w:spacing w:after="0" w:line="238" w:lineRule="auto"/>
        <w:rPr>
          <w:sz w:val="20"/>
          <w:szCs w:val="20"/>
          <w:color w:val="auto"/>
        </w:rPr>
      </w:pPr>
      <w:r>
        <w:rPr>
          <w:rFonts w:ascii="Arial" w:cs="Arial" w:eastAsia="Arial" w:hAnsi="Arial"/>
          <w:sz w:val="18"/>
          <w:szCs w:val="18"/>
          <w:color w:val="auto"/>
        </w:rPr>
        <w:t>The right to indemnification which will be conferred by our amended and restated certificate of incorporation is a contract right that includes the right to be paid by us the expenses incurred in defending or otherwise participating in any proceeding referenced above in advance of its final disposition, provided, however, that if the DGCL requires,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79" w:right="1440" w:bottom="1440" w:gutter="0" w:footer="0" w:header="0"/>
        </w:sectPr>
      </w:pPr>
    </w:p>
    <w:bookmarkStart w:id="165" w:name="page166"/>
    <w:bookmarkEnd w:id="165"/>
    <w:p>
      <w:pPr>
        <w:ind w:left="460" w:right="479"/>
        <w:spacing w:after="0" w:line="238" w:lineRule="auto"/>
        <w:rPr>
          <w:sz w:val="20"/>
          <w:szCs w:val="20"/>
          <w:color w:val="auto"/>
        </w:rPr>
      </w:pPr>
      <w:r>
        <w:rPr>
          <w:rFonts w:ascii="Arial" w:cs="Arial" w:eastAsia="Arial" w:hAnsi="Arial"/>
          <w:sz w:val="18"/>
          <w:szCs w:val="18"/>
          <w:color w:val="auto"/>
        </w:rPr>
        <w:t>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amended and restated certificate of incorporation or otherwise.</w:t>
      </w:r>
    </w:p>
    <w:p>
      <w:pPr>
        <w:spacing w:after="0" w:line="121" w:lineRule="exact"/>
        <w:rPr>
          <w:sz w:val="20"/>
          <w:szCs w:val="20"/>
          <w:color w:val="auto"/>
        </w:rPr>
      </w:pPr>
    </w:p>
    <w:p>
      <w:pPr>
        <w:ind w:left="460" w:right="479"/>
        <w:spacing w:after="0" w:line="238"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amended and restated certificate of incorporation may have or hereafter acquire under law, our amended and restated certificate of incorporation, our bylaws, an agreement, vote of stockholders or disinterested directors, or otherwise.</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Any repeal or amendment of provisions of our amended and restated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amended and restated certificate of incorporation will also permit us, to the extent and in the manner authorized or permitted by law, to indemnify and to advance expenses to persons other that those specifically covered by our amended and restated certificate of incorporation.</w:t>
      </w:r>
    </w:p>
    <w:p>
      <w:pPr>
        <w:spacing w:after="0" w:line="137"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which will be set forth in our amended and restated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26"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135" w:lineRule="exact"/>
        <w:rPr>
          <w:sz w:val="20"/>
          <w:szCs w:val="20"/>
          <w:color w:val="auto"/>
        </w:rPr>
      </w:pPr>
    </w:p>
    <w:p>
      <w:pPr>
        <w:ind w:left="460" w:right="639"/>
        <w:spacing w:after="0" w:line="238" w:lineRule="auto"/>
        <w:rPr>
          <w:sz w:val="20"/>
          <w:szCs w:val="20"/>
          <w:color w:val="auto"/>
        </w:rPr>
      </w:pPr>
      <w:r>
        <w:rPr>
          <w:rFonts w:ascii="Arial" w:cs="Arial" w:eastAsia="Arial" w:hAnsi="Arial"/>
          <w:sz w:val="18"/>
          <w:szCs w:val="18"/>
          <w:color w:val="auto"/>
        </w:rPr>
        <w:t>We will enter into indemnification agreements with each of our officers and directors a form of which is to be filed as an exhibit to this Registration Statement. These agreements will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35" w:lineRule="exact"/>
        <w:rPr>
          <w:sz w:val="20"/>
          <w:szCs w:val="20"/>
          <w:color w:val="auto"/>
        </w:rPr>
      </w:pPr>
    </w:p>
    <w:p>
      <w:pPr>
        <w:jc w:val="both"/>
        <w:ind w:left="460" w:right="579"/>
        <w:spacing w:after="0" w:line="238" w:lineRule="auto"/>
        <w:rPr>
          <w:sz w:val="20"/>
          <w:szCs w:val="20"/>
          <w:color w:val="auto"/>
        </w:rPr>
      </w:pPr>
      <w:r>
        <w:rPr>
          <w:rFonts w:ascii="Arial" w:cs="Arial" w:eastAsia="Arial" w:hAnsi="Arial"/>
          <w:sz w:val="18"/>
          <w:szCs w:val="18"/>
          <w:color w:val="auto"/>
        </w:rPr>
        <w:t>Pursuant to the Underwriting Agreement to be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53" w:lineRule="exact"/>
        <w:rPr>
          <w:sz w:val="20"/>
          <w:szCs w:val="20"/>
          <w:color w:val="auto"/>
        </w:rPr>
      </w:pPr>
    </w:p>
    <w:p>
      <w:pPr>
        <w:ind w:left="460" w:right="499"/>
        <w:spacing w:after="0" w:line="236" w:lineRule="auto"/>
        <w:rPr>
          <w:sz w:val="20"/>
          <w:szCs w:val="20"/>
          <w:color w:val="auto"/>
        </w:rPr>
      </w:pPr>
      <w:r>
        <w:rPr>
          <w:rFonts w:ascii="Arial" w:cs="Arial" w:eastAsia="Arial" w:hAnsi="Arial"/>
          <w:sz w:val="18"/>
          <w:szCs w:val="18"/>
          <w:color w:val="auto"/>
        </w:rPr>
        <w:t>On June 30, 2020, FS Development Holdings, LLC, our sponsor, purchased an aggregate 2,875,000 founder shares for a total purchase price of $ 25,000, or approximately $0.009 per share. Such securities were issued in connection with our organization pursuant to the exemption from registration contained in Section 4(a)(2) of the Securities Act. The number of founder shares outstanding was determined based on the expectation that the total size of this offering would be a maximum of 11,500,000 units if the underwriters’ over-allotment option is exercised in full and therefore that such founder shares would represent 20% of the outstanding shares after this offering. Up to 375,000 of these shares will be forfeited depending on the extent to which the underwriters’ over-allotment is exercised.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66" w:name="page167"/>
    <w:bookmarkEnd w:id="166"/>
    <w:p>
      <w:pPr>
        <w:ind w:left="460" w:right="599"/>
        <w:spacing w:after="0" w:line="237" w:lineRule="auto"/>
        <w:rPr>
          <w:sz w:val="20"/>
          <w:szCs w:val="20"/>
          <w:color w:val="auto"/>
        </w:rPr>
      </w:pPr>
      <w:r>
        <w:rPr>
          <w:rFonts w:ascii="Arial" w:cs="Arial" w:eastAsia="Arial" w:hAnsi="Arial"/>
          <w:sz w:val="18"/>
          <w:szCs w:val="18"/>
          <w:color w:val="auto"/>
        </w:rPr>
        <w:t>Foresite Capital Management V, LLC is the sole member of our sponsor. Our sponsor is an accredited investor for purposes of Rule 501 of Regulation D. Each of the equity holders in our sponsor is an accredited investor under Rule 501 of Regulation D. The sole business of our sponsor is to act as the company’s sponsor in connection with this offering. The limited liability company agreement of our sponsor provides that its membership interests may only be transferred to our officers or directors or other persons affiliated with our sponsor, or in connection with estate planning transfers.</w:t>
      </w:r>
    </w:p>
    <w:p>
      <w:pPr>
        <w:spacing w:after="0" w:line="122" w:lineRule="exact"/>
        <w:rPr>
          <w:sz w:val="20"/>
          <w:szCs w:val="20"/>
          <w:color w:val="auto"/>
        </w:rPr>
      </w:pPr>
    </w:p>
    <w:p>
      <w:pPr>
        <w:ind w:left="460" w:right="559"/>
        <w:spacing w:after="0" w:line="237" w:lineRule="auto"/>
        <w:rPr>
          <w:sz w:val="20"/>
          <w:szCs w:val="20"/>
          <w:color w:val="auto"/>
        </w:rPr>
      </w:pPr>
      <w:r>
        <w:rPr>
          <w:rFonts w:ascii="Arial" w:cs="Arial" w:eastAsia="Arial" w:hAnsi="Arial"/>
          <w:sz w:val="18"/>
          <w:szCs w:val="18"/>
          <w:color w:val="auto"/>
        </w:rPr>
        <w:t>Our sponsor has committed, pursuant to a written agreement, to purchase from us an aggregate of 2,666,667 private placement warrants (or 2,866,667 warrants if the underwriters’ over-allotment option is exercised in full) at $1.50 per warrant (for an aggregate purchase price of $4,000,000 (or $4,300,000 warrants if the underwriters’ over-allotment option is exercised in full)). This purchase will take place on a private placement basis simultaneously with the completion of our initial public offering. This issuance will be made pursuant to the exemption from registration contained in Section 4(a)(2) of the Securities Act.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87" w:right="1440" w:bottom="1440" w:gutter="0" w:footer="0" w:header="0"/>
        </w:sectPr>
      </w:pPr>
    </w:p>
    <w:bookmarkStart w:id="167" w:name="page168"/>
    <w:bookmarkEnd w:id="167"/>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48" w:lineRule="exact"/>
        <w:rPr>
          <w:sz w:val="20"/>
          <w:szCs w:val="20"/>
          <w:color w:val="auto"/>
        </w:rPr>
      </w:pPr>
    </w:p>
    <w:p>
      <w:pPr>
        <w:ind w:left="720" w:hanging="266"/>
        <w:spacing w:after="0"/>
        <w:tabs>
          <w:tab w:leader="none" w:pos="720"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The following exhibits are being filed herewith:</w:t>
      </w:r>
    </w:p>
    <w:p>
      <w:pPr>
        <w:spacing w:after="0" w:line="207" w:lineRule="exact"/>
        <w:rPr>
          <w:rFonts w:ascii="Arial" w:cs="Arial" w:eastAsia="Arial" w:hAnsi="Arial"/>
          <w:sz w:val="18"/>
          <w:szCs w:val="18"/>
          <w:color w:val="auto"/>
        </w:rPr>
      </w:pPr>
    </w:p>
    <w:p>
      <w:pPr>
        <w:ind w:left="3840"/>
        <w:spacing w:after="0"/>
        <w:rPr>
          <w:rFonts w:ascii="Arial" w:cs="Arial" w:eastAsia="Arial" w:hAnsi="Arial"/>
          <w:sz w:val="18"/>
          <w:szCs w:val="18"/>
          <w:color w:val="auto"/>
        </w:rPr>
      </w:pPr>
      <w:r>
        <w:rPr>
          <w:rFonts w:ascii="Arial" w:cs="Arial" w:eastAsia="Arial" w:hAnsi="Arial"/>
          <w:sz w:val="18"/>
          <w:szCs w:val="18"/>
          <w:b w:val="1"/>
          <w:bCs w:val="1"/>
          <w:color w:val="auto"/>
        </w:rPr>
        <w:t>EXHIBIT INDEX</w:t>
      </w:r>
    </w:p>
    <w:p>
      <w:pPr>
        <w:spacing w:after="0" w:line="262" w:lineRule="exact"/>
        <w:rPr>
          <w:sz w:val="20"/>
          <w:szCs w:val="20"/>
          <w:color w:val="auto"/>
        </w:rPr>
      </w:pPr>
    </w:p>
    <w:p>
      <w:pPr>
        <w:ind w:left="460"/>
        <w:spacing w:after="0"/>
        <w:tabs>
          <w:tab w:leader="none" w:pos="4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34925</wp:posOffset>
            </wp:positionV>
            <wp:extent cx="514350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Form of Underwriting Agreement.*</w:t>
      </w:r>
    </w:p>
    <w:p>
      <w:pPr>
        <w:spacing w:after="0" w:line="63"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Certificate of Incorporation.*</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Bylaws*</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Specimen Unit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Specimen Class A Common Stock Certificate.*</w:t>
      </w:r>
    </w:p>
    <w:p>
      <w:pPr>
        <w:spacing w:after="0" w:line="77"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Specimen Warrant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300" w:right="479" w:hanging="590"/>
        <w:spacing w:after="0" w:line="246" w:lineRule="auto"/>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Form of Warrant Agreement between Continental Stock Transfer &amp; Trust Company and the Registrant.*</w:t>
      </w:r>
    </w:p>
    <w:p>
      <w:pPr>
        <w:spacing w:after="0" w:line="21" w:lineRule="exact"/>
        <w:rPr>
          <w:sz w:val="20"/>
          <w:szCs w:val="20"/>
          <w:color w:val="auto"/>
        </w:rPr>
      </w:pPr>
    </w:p>
    <w:p>
      <w:pPr>
        <w:ind w:left="72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White &amp; Case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803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1300" w:right="479" w:hanging="640"/>
        <w:spacing w:after="0" w:line="246" w:lineRule="auto"/>
        <w:tabs>
          <w:tab w:leader="none" w:pos="1280" w:val="left"/>
        </w:tabs>
        <w:rPr>
          <w:sz w:val="20"/>
          <w:szCs w:val="20"/>
          <w:color w:val="auto"/>
        </w:rPr>
      </w:pPr>
      <w:r>
        <w:rPr>
          <w:rFonts w:ascii="Arial" w:cs="Arial" w:eastAsia="Arial" w:hAnsi="Arial"/>
          <w:sz w:val="18"/>
          <w:szCs w:val="18"/>
          <w:color w:val="auto"/>
        </w:rPr>
        <w:t>10.1</w:t>
        <w:tab/>
        <w:t>Form of Letter Agreement among the Registrant, FS Development Holdings, LLC and each of the executive officers and directors of the Registrant.*</w:t>
      </w:r>
    </w:p>
    <w:p>
      <w:pPr>
        <w:spacing w:after="0" w:line="21" w:lineRule="exact"/>
        <w:rPr>
          <w:sz w:val="20"/>
          <w:szCs w:val="20"/>
          <w:color w:val="auto"/>
        </w:rPr>
      </w:pPr>
    </w:p>
    <w:p>
      <w:pPr>
        <w:ind w:left="1300" w:right="599" w:hanging="640"/>
        <w:spacing w:after="0" w:line="246" w:lineRule="auto"/>
        <w:tabs>
          <w:tab w:leader="none" w:pos="1280" w:val="left"/>
        </w:tabs>
        <w:rPr>
          <w:sz w:val="20"/>
          <w:szCs w:val="20"/>
          <w:color w:val="auto"/>
        </w:rPr>
      </w:pPr>
      <w:r>
        <w:rPr>
          <w:rFonts w:ascii="Arial" w:cs="Arial" w:eastAsia="Arial" w:hAnsi="Arial"/>
          <w:sz w:val="18"/>
          <w:szCs w:val="18"/>
          <w:color w:val="auto"/>
        </w:rPr>
        <w:t>10.2</w:t>
        <w:tab/>
        <w:t>Form of Investment Management Trust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32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283210"/>
                    </a:xfrm>
                    <a:prstGeom prst="rect">
                      <a:avLst/>
                    </a:prstGeom>
                    <a:noFill/>
                  </pic:spPr>
                </pic:pic>
              </a:graphicData>
            </a:graphic>
          </wp:anchor>
        </w:drawing>
      </w:r>
    </w:p>
    <w:p>
      <w:pPr>
        <w:spacing w:after="0" w:line="1" w:lineRule="exact"/>
        <w:rPr>
          <w:sz w:val="20"/>
          <w:szCs w:val="20"/>
          <w:color w:val="auto"/>
        </w:rPr>
      </w:pPr>
    </w:p>
    <w:p>
      <w:pPr>
        <w:ind w:left="1300" w:right="579" w:hanging="640"/>
        <w:spacing w:after="0" w:line="246" w:lineRule="auto"/>
        <w:tabs>
          <w:tab w:leader="none" w:pos="1280" w:val="left"/>
        </w:tabs>
        <w:rPr>
          <w:sz w:val="20"/>
          <w:szCs w:val="20"/>
          <w:color w:val="auto"/>
        </w:rPr>
      </w:pPr>
      <w:r>
        <w:rPr>
          <w:rFonts w:ascii="Arial" w:cs="Arial" w:eastAsia="Arial" w:hAnsi="Arial"/>
          <w:sz w:val="18"/>
          <w:szCs w:val="18"/>
          <w:color w:val="auto"/>
        </w:rPr>
        <w:t>10.3</w:t>
        <w:tab/>
        <w:t>Form of Registration Rights Agreement among the Registrant, FS Development Holdings, LLC and the Holders signatory thereto.*</w:t>
      </w:r>
    </w:p>
    <w:p>
      <w:pPr>
        <w:spacing w:after="0" w:line="21" w:lineRule="exact"/>
        <w:rPr>
          <w:sz w:val="20"/>
          <w:szCs w:val="20"/>
          <w:color w:val="auto"/>
        </w:rPr>
      </w:pPr>
    </w:p>
    <w:p>
      <w:pPr>
        <w:ind w:left="1300" w:right="539" w:hanging="640"/>
        <w:spacing w:after="0" w:line="246" w:lineRule="auto"/>
        <w:tabs>
          <w:tab w:leader="none" w:pos="1280" w:val="left"/>
        </w:tabs>
        <w:rPr>
          <w:sz w:val="20"/>
          <w:szCs w:val="20"/>
          <w:color w:val="auto"/>
        </w:rPr>
      </w:pPr>
      <w:r>
        <w:rPr>
          <w:rFonts w:ascii="Arial" w:cs="Arial" w:eastAsia="Arial" w:hAnsi="Arial"/>
          <w:sz w:val="18"/>
          <w:szCs w:val="18"/>
          <w:color w:val="auto"/>
        </w:rPr>
        <w:t>10.4</w:t>
        <w:tab/>
        <w:t>Form of Private Placement Warrants Purchase Agreement between the Registrant and 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321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283210"/>
                    </a:xfrm>
                    <a:prstGeom prst="rect">
                      <a:avLst/>
                    </a:prstGeom>
                    <a:noFill/>
                  </pic:spPr>
                </pic:pic>
              </a:graphicData>
            </a:graphic>
          </wp:anchor>
        </w:drawing>
      </w:r>
    </w:p>
    <w:p>
      <w:pPr>
        <w:spacing w:after="0" w:line="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Form of Indemnity Agreement.*</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10.6</w:t>
        <w:tab/>
        <w:t>Promissory Note issued to 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300" w:right="519" w:hanging="640"/>
        <w:spacing w:after="0" w:line="246" w:lineRule="auto"/>
        <w:tabs>
          <w:tab w:leader="none" w:pos="1280" w:val="left"/>
        </w:tabs>
        <w:rPr>
          <w:sz w:val="20"/>
          <w:szCs w:val="20"/>
          <w:color w:val="auto"/>
        </w:rPr>
      </w:pPr>
      <w:r>
        <w:rPr>
          <w:rFonts w:ascii="Arial" w:cs="Arial" w:eastAsia="Arial" w:hAnsi="Arial"/>
          <w:sz w:val="18"/>
          <w:szCs w:val="18"/>
          <w:color w:val="auto"/>
        </w:rPr>
        <w:t>10.7</w:t>
        <w:tab/>
        <w:t>Securities Subscription Agreement between the Registrant and FS Development Holdings, LLC.*</w:t>
      </w:r>
    </w:p>
    <w:p>
      <w:pPr>
        <w:spacing w:after="0" w:line="21" w:lineRule="exact"/>
        <w:rPr>
          <w:sz w:val="20"/>
          <w:szCs w:val="20"/>
          <w:color w:val="auto"/>
        </w:rPr>
      </w:pPr>
    </w:p>
    <w:p>
      <w:pPr>
        <w:ind w:left="1300" w:right="599" w:hanging="640"/>
        <w:spacing w:after="0" w:line="246" w:lineRule="auto"/>
        <w:tabs>
          <w:tab w:leader="none" w:pos="1280" w:val="left"/>
        </w:tabs>
        <w:rPr>
          <w:sz w:val="20"/>
          <w:szCs w:val="20"/>
          <w:color w:val="auto"/>
        </w:rPr>
      </w:pPr>
      <w:r>
        <w:rPr>
          <w:rFonts w:ascii="Arial" w:cs="Arial" w:eastAsia="Arial" w:hAnsi="Arial"/>
          <w:sz w:val="18"/>
          <w:szCs w:val="18"/>
          <w:color w:val="auto"/>
        </w:rPr>
        <w:t>10.8</w:t>
        <w:tab/>
        <w:t>Form of Administrative Services Agreement between the Registrant and FS Development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-267970</wp:posOffset>
            </wp:positionV>
            <wp:extent cx="5143500" cy="2825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00" cy="282575"/>
                    </a:xfrm>
                    <a:prstGeom prst="rect">
                      <a:avLst/>
                    </a:prstGeom>
                    <a:noFill/>
                  </pic:spPr>
                </pic:pic>
              </a:graphicData>
            </a:graphic>
          </wp:anchor>
        </w:drawing>
      </w:r>
    </w:p>
    <w:p>
      <w:pPr>
        <w:spacing w:after="0" w:line="1" w:lineRule="exact"/>
        <w:rPr>
          <w:sz w:val="20"/>
          <w:szCs w:val="20"/>
          <w:color w:val="auto"/>
        </w:rPr>
      </w:pPr>
    </w:p>
    <w:p>
      <w:pPr>
        <w:ind w:left="740"/>
        <w:spacing w:after="0"/>
        <w:tabs>
          <w:tab w:leader="none" w:pos="128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Form of Code of Ethics.*</w:t>
      </w:r>
    </w:p>
    <w:p>
      <w:pPr>
        <w:spacing w:after="0" w:line="7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tab/>
        <w:t>Consent of WithumSmith+Brown,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23.2</w:t>
        <w:tab/>
        <w:t>Consent of White &amp; Case LLP (included on Exhibit 5.1).*</w:t>
      </w:r>
    </w:p>
    <w:p>
      <w:pPr>
        <w:spacing w:after="0" w:line="77" w:lineRule="exact"/>
        <w:rPr>
          <w:sz w:val="20"/>
          <w:szCs w:val="20"/>
          <w:color w:val="auto"/>
        </w:rPr>
      </w:pPr>
    </w:p>
    <w:p>
      <w:pPr>
        <w:ind w:left="660" w:right="3959" w:firstLine="79"/>
        <w:spacing w:after="0" w:line="328" w:lineRule="auto"/>
        <w:tabs>
          <w:tab w:leader="none" w:pos="1301" w:val="left"/>
        </w:tabs>
        <w:numPr>
          <w:ilvl w:val="0"/>
          <w:numId w:val="98"/>
        </w:numPr>
        <w:rPr>
          <w:rFonts w:ascii="Arial" w:cs="Arial" w:eastAsia="Arial" w:hAnsi="Arial"/>
          <w:sz w:val="18"/>
          <w:szCs w:val="18"/>
          <w:u w:val="single" w:color="auto"/>
          <w:color w:val="0000EE"/>
        </w:rPr>
      </w:pPr>
      <w:hyperlink w:anchor="page170">
        <w:r>
          <w:rPr>
            <w:rFonts w:ascii="Arial" w:cs="Arial" w:eastAsia="Arial" w:hAnsi="Arial"/>
            <w:sz w:val="18"/>
            <w:szCs w:val="18"/>
            <w:u w:val="single" w:color="auto"/>
            <w:color w:val="0000EE"/>
          </w:rPr>
          <w:t>Power of Attorney (included on signature page)</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99.1 Form of Audit Committee Charter.*</w:t>
      </w:r>
    </w:p>
    <w:p>
      <w:pPr>
        <w:spacing w:after="0" w:line="1" w:lineRule="exact"/>
        <w:rPr>
          <w:rFonts w:ascii="Arial" w:cs="Arial" w:eastAsia="Arial" w:hAnsi="Arial"/>
          <w:sz w:val="18"/>
          <w:szCs w:val="18"/>
          <w:u w:val="single" w:color="auto"/>
          <w:color w:val="0000EE"/>
        </w:rPr>
      </w:pPr>
    </w:p>
    <w:p>
      <w:pPr>
        <w:ind w:left="660"/>
        <w:spacing w:after="0"/>
        <w:rPr>
          <w:rFonts w:ascii="Arial" w:cs="Arial" w:eastAsia="Arial" w:hAnsi="Arial"/>
          <w:sz w:val="18"/>
          <w:szCs w:val="18"/>
          <w:u w:val="single" w:color="auto"/>
          <w:color w:val="0000EE"/>
        </w:rPr>
      </w:pPr>
      <w:r>
        <w:rPr>
          <w:rFonts w:ascii="Arial" w:cs="Arial" w:eastAsia="Arial" w:hAnsi="Arial"/>
          <w:sz w:val="18"/>
          <w:szCs w:val="18"/>
          <w:color w:val="auto"/>
        </w:rPr>
        <w:t>99.2   Form of Compensation Committee Charter.*</w:t>
      </w:r>
    </w:p>
    <w:p>
      <w:pPr>
        <w:spacing w:after="0" w:line="76" w:lineRule="exact"/>
        <w:rPr>
          <w:rFonts w:ascii="Arial" w:cs="Arial" w:eastAsia="Arial" w:hAnsi="Arial"/>
          <w:sz w:val="18"/>
          <w:szCs w:val="18"/>
          <w:u w:val="single" w:color="auto"/>
          <w:color w:val="0000EE"/>
        </w:rPr>
      </w:pPr>
    </w:p>
    <w:p>
      <w:pPr>
        <w:ind w:left="660"/>
        <w:spacing w:after="0"/>
        <w:rPr>
          <w:rFonts w:ascii="Arial" w:cs="Arial" w:eastAsia="Arial" w:hAnsi="Arial"/>
          <w:sz w:val="18"/>
          <w:szCs w:val="18"/>
          <w:u w:val="single" w:color="auto"/>
          <w:color w:val="0000EE"/>
        </w:rPr>
      </w:pPr>
      <w:r>
        <w:rPr>
          <w:rFonts w:ascii="Arial" w:cs="Arial" w:eastAsia="Arial" w:hAnsi="Arial"/>
          <w:sz w:val="18"/>
          <w:szCs w:val="18"/>
          <w:color w:val="auto"/>
        </w:rPr>
        <w:t>99.3   Form of Nominating &amp; Corporate Governance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-670560</wp:posOffset>
            </wp:positionV>
            <wp:extent cx="5143500" cy="17970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-310515</wp:posOffset>
            </wp:positionV>
            <wp:extent cx="5143500" cy="1803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92" w:lineRule="exact"/>
        <w:rPr>
          <w:sz w:val="20"/>
          <w:szCs w:val="20"/>
          <w:color w:val="auto"/>
        </w:rPr>
      </w:pPr>
    </w:p>
    <w:p>
      <w:pPr>
        <w:ind w:left="820" w:hanging="366"/>
        <w:spacing w:after="0"/>
        <w:tabs>
          <w:tab w:leader="none" w:pos="820" w:val="left"/>
        </w:tabs>
        <w:numPr>
          <w:ilvl w:val="0"/>
          <w:numId w:val="99"/>
        </w:numPr>
        <w:rPr>
          <w:rFonts w:ascii="Arial" w:cs="Arial" w:eastAsia="Arial" w:hAnsi="Arial"/>
          <w:sz w:val="13"/>
          <w:szCs w:val="13"/>
          <w:color w:val="auto"/>
        </w:rPr>
      </w:pPr>
      <w:r>
        <w:rPr>
          <w:rFonts w:ascii="Arial" w:cs="Arial" w:eastAsia="Arial" w:hAnsi="Arial"/>
          <w:sz w:val="13"/>
          <w:szCs w:val="13"/>
          <w:color w:val="auto"/>
        </w:rPr>
        <w:t>To be filed by amendment.</w:t>
      </w:r>
    </w:p>
    <w:p>
      <w:pPr>
        <w:spacing w:after="0" w:line="108" w:lineRule="exact"/>
        <w:rPr>
          <w:sz w:val="20"/>
          <w:szCs w:val="20"/>
          <w:color w:val="auto"/>
        </w:rPr>
      </w:pPr>
    </w:p>
    <w:p>
      <w:pPr>
        <w:ind w:left="460" w:right="1079" w:hanging="6"/>
        <w:spacing w:after="0" w:line="267" w:lineRule="auto"/>
        <w:tabs>
          <w:tab w:leader="none" w:pos="73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page F-1 for an index to the financial statements and schedules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the registration statement.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8" w:name="page169"/>
    <w:bookmarkEnd w:id="168"/>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58" w:lineRule="exact"/>
        <w:rPr>
          <w:sz w:val="20"/>
          <w:szCs w:val="20"/>
          <w:color w:val="auto"/>
        </w:rPr>
      </w:pPr>
    </w:p>
    <w:p>
      <w:pPr>
        <w:ind w:left="1100" w:right="499" w:hanging="322"/>
        <w:spacing w:after="0"/>
        <w:tabs>
          <w:tab w:leader="none" w:pos="1093"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3" w:lineRule="exact"/>
        <w:rPr>
          <w:rFonts w:ascii="Arial" w:cs="Arial" w:eastAsia="Arial" w:hAnsi="Arial"/>
          <w:sz w:val="18"/>
          <w:szCs w:val="18"/>
          <w:color w:val="auto"/>
        </w:rPr>
      </w:pPr>
    </w:p>
    <w:p>
      <w:pPr>
        <w:ind w:left="1100" w:right="479" w:hanging="322"/>
        <w:spacing w:after="0" w:line="236" w:lineRule="auto"/>
        <w:tabs>
          <w:tab w:leader="none" w:pos="109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8" w:lineRule="exact"/>
        <w:rPr>
          <w:rFonts w:ascii="Arial" w:cs="Arial" w:eastAsia="Arial" w:hAnsi="Arial"/>
          <w:sz w:val="18"/>
          <w:szCs w:val="18"/>
          <w:color w:val="auto"/>
        </w:rPr>
      </w:pPr>
    </w:p>
    <w:p>
      <w:pPr>
        <w:ind w:left="1080" w:hanging="302"/>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36" w:lineRule="exact"/>
        <w:rPr>
          <w:rFonts w:ascii="Arial" w:cs="Arial" w:eastAsia="Arial" w:hAnsi="Arial"/>
          <w:sz w:val="18"/>
          <w:szCs w:val="18"/>
          <w:color w:val="auto"/>
        </w:rPr>
      </w:pPr>
    </w:p>
    <w:p>
      <w:pPr>
        <w:ind w:left="1420" w:right="519" w:hanging="318"/>
        <w:spacing w:after="0" w:line="238" w:lineRule="auto"/>
        <w:tabs>
          <w:tab w:leader="none" w:pos="141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3" w:lineRule="exact"/>
        <w:rPr>
          <w:rFonts w:ascii="Arial" w:cs="Arial" w:eastAsia="Arial" w:hAnsi="Arial"/>
          <w:sz w:val="18"/>
          <w:szCs w:val="18"/>
          <w:color w:val="auto"/>
        </w:rPr>
      </w:pPr>
    </w:p>
    <w:p>
      <w:pPr>
        <w:ind w:left="1420" w:right="599" w:hanging="318"/>
        <w:spacing w:after="0" w:line="238" w:lineRule="auto"/>
        <w:tabs>
          <w:tab w:leader="none" w:pos="1416" w:val="left"/>
        </w:tabs>
        <w:numPr>
          <w:ilvl w:val="1"/>
          <w:numId w:val="101"/>
        </w:numPr>
        <w:rPr>
          <w:rFonts w:ascii="Arial" w:cs="Arial" w:eastAsia="Arial" w:hAnsi="Arial"/>
          <w:sz w:val="18"/>
          <w:szCs w:val="18"/>
          <w:color w:val="auto"/>
        </w:rPr>
      </w:pPr>
      <w:r>
        <w:rPr>
          <w:rFonts w:ascii="Arial" w:cs="Arial" w:eastAsia="Arial" w:hAnsi="Arial"/>
          <w:sz w:val="18"/>
          <w:szCs w:val="18"/>
          <w:color w:val="auto"/>
        </w:rPr>
        <w:t xml:space="preserve">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SIGNATURES</w:t>
      </w:r>
    </w:p>
    <w:p>
      <w:pPr>
        <w:spacing w:after="0" w:line="166" w:lineRule="exact"/>
        <w:rPr>
          <w:sz w:val="20"/>
          <w:szCs w:val="20"/>
          <w:color w:val="auto"/>
        </w:rPr>
      </w:pPr>
    </w:p>
    <w:p>
      <w:pPr>
        <w:ind w:left="460" w:right="899"/>
        <w:spacing w:after="0" w:line="24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w:t>
      </w:r>
    </w:p>
    <w:p>
      <w:pPr>
        <w:spacing w:after="0" w:line="1" w:lineRule="exact"/>
        <w:rPr>
          <w:sz w:val="20"/>
          <w:szCs w:val="20"/>
          <w:color w:val="auto"/>
        </w:rPr>
      </w:pPr>
    </w:p>
    <w:p>
      <w:pPr>
        <w:ind w:left="460"/>
        <w:spacing w:after="0"/>
        <w:tabs>
          <w:tab w:leader="none" w:pos="4920" w:val="left"/>
          <w:tab w:leader="none" w:pos="5860" w:val="left"/>
        </w:tabs>
        <w:rPr>
          <w:sz w:val="20"/>
          <w:szCs w:val="20"/>
          <w:color w:val="auto"/>
        </w:rPr>
      </w:pPr>
      <w:r>
        <w:rPr>
          <w:rFonts w:ascii="Arial" w:cs="Arial" w:eastAsia="Arial" w:hAnsi="Arial"/>
          <w:sz w:val="18"/>
          <w:szCs w:val="18"/>
          <w:color w:val="auto"/>
        </w:rPr>
        <w:t>authorized, in the City of San Francisco, CA,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8"/>
          <w:szCs w:val="18"/>
          <w:color w:val="auto"/>
        </w:rPr>
        <w:t>, 2020.</w:t>
      </w:r>
    </w:p>
    <w:p>
      <w:pPr>
        <w:spacing w:after="0" w:line="19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FS DEVELOPMENT CORP.</w:t>
      </w:r>
    </w:p>
    <w:p>
      <w:pPr>
        <w:spacing w:after="0" w:line="20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23495</wp:posOffset>
            </wp:positionV>
            <wp:extent cx="19030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Jim Tananbaum</w:t>
      </w:r>
    </w:p>
    <w:p>
      <w:pPr>
        <w:spacing w:after="0" w:line="7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President and Chief Executive Officer</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6" w:lineRule="exact"/>
        <w:rPr>
          <w:sz w:val="20"/>
          <w:szCs w:val="20"/>
          <w:color w:val="auto"/>
        </w:rPr>
      </w:pPr>
    </w:p>
    <w:p>
      <w:pPr>
        <w:ind w:left="460" w:right="539"/>
        <w:spacing w:after="0" w:line="236"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each of Jim Tananbaum and Dennis Ryan his true and lawful attorney-in-fact, with full power of substitution and resubstitution for him and in his name, place and stead, in any and all capacities to sign any and all amendments including post-effective amendments to this registration statement and any and all registration statements filed pursuant to Rule 462 under the Securities Act of 1933, as amended, and to file the same, with all exhibits thereto, and other documents in connection therewith, with the SEC, hereby ratifying and confirming all that said attorney-in-fact or his substitute, each acting alone, may lawfully do or cause to be done by virtue thereof.</w:t>
      </w:r>
    </w:p>
    <w:p>
      <w:pPr>
        <w:spacing w:after="0" w:line="126" w:lineRule="exact"/>
        <w:rPr>
          <w:sz w:val="20"/>
          <w:szCs w:val="20"/>
          <w:color w:val="auto"/>
        </w:rPr>
      </w:pPr>
    </w:p>
    <w:p>
      <w:pPr>
        <w:ind w:left="460" w:right="599"/>
        <w:spacing w:after="0" w:line="274"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216"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4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6"/>
                <w:szCs w:val="16"/>
                <w:color w:val="auto"/>
              </w:rPr>
            </w:pPr>
          </w:p>
        </w:tc>
        <w:tc>
          <w:tcPr>
            <w:tcW w:w="3600" w:type="dxa"/>
            <w:vAlign w:val="bottom"/>
            <w:gridSpan w:val="2"/>
          </w:tcPr>
          <w:p>
            <w:pPr>
              <w:ind w:left="1460"/>
              <w:spacing w:after="0"/>
              <w:rPr>
                <w:sz w:val="20"/>
                <w:szCs w:val="20"/>
                <w:color w:val="auto"/>
              </w:rPr>
            </w:pPr>
            <w:r>
              <w:rPr>
                <w:rFonts w:ascii="Arial" w:cs="Arial" w:eastAsia="Arial" w:hAnsi="Arial"/>
                <w:sz w:val="14"/>
                <w:szCs w:val="14"/>
                <w:b w:val="1"/>
                <w:bCs w:val="1"/>
                <w:color w:val="auto"/>
              </w:rPr>
              <w:t>Position</w:t>
            </w:r>
          </w:p>
        </w:tc>
        <w:tc>
          <w:tcPr>
            <w:tcW w:w="2000" w:type="dxa"/>
            <w:vAlign w:val="bottom"/>
          </w:tcPr>
          <w:p>
            <w:pPr>
              <w:jc w:val="right"/>
              <w:ind w:right="754"/>
              <w:spacing w:after="0"/>
              <w:rPr>
                <w:sz w:val="20"/>
                <w:szCs w:val="20"/>
                <w:color w:val="auto"/>
              </w:rPr>
            </w:pPr>
            <w:r>
              <w:rPr>
                <w:rFonts w:ascii="Arial" w:cs="Arial" w:eastAsia="Arial" w:hAnsi="Arial"/>
                <w:sz w:val="14"/>
                <w:szCs w:val="14"/>
                <w:b w:val="1"/>
                <w:bCs w:val="1"/>
                <w:color w:val="auto"/>
              </w:rPr>
              <w:t>Date</w:t>
            </w:r>
          </w:p>
        </w:tc>
      </w:tr>
      <w:tr>
        <w:trPr>
          <w:trHeight w:val="26"/>
        </w:trPr>
        <w:tc>
          <w:tcPr>
            <w:tcW w:w="2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330"/>
        </w:trPr>
        <w:tc>
          <w:tcPr>
            <w:tcW w:w="2400" w:type="dxa"/>
            <w:vAlign w:val="bottom"/>
          </w:tcPr>
          <w:p>
            <w:pPr>
              <w:spacing w:after="0"/>
              <w:rPr>
                <w:sz w:val="24"/>
                <w:szCs w:val="24"/>
                <w:color w:val="auto"/>
              </w:rPr>
            </w:pP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w:t>
            </w:r>
          </w:p>
        </w:tc>
        <w:tc>
          <w:tcPr>
            <w:tcW w:w="2000" w:type="dxa"/>
            <w:vAlign w:val="bottom"/>
          </w:tcPr>
          <w:p>
            <w:pPr>
              <w:spacing w:after="0"/>
              <w:rPr>
                <w:sz w:val="24"/>
                <w:szCs w:val="24"/>
                <w:color w:val="auto"/>
              </w:rPr>
            </w:pPr>
          </w:p>
        </w:tc>
      </w:tr>
      <w:tr>
        <w:trPr>
          <w:trHeight w:val="217"/>
        </w:trPr>
        <w:tc>
          <w:tcPr>
            <w:tcW w:w="2400" w:type="dxa"/>
            <w:vAlign w:val="bottom"/>
          </w:tcPr>
          <w:p>
            <w:pPr>
              <w:spacing w:after="0"/>
              <w:rPr>
                <w:sz w:val="18"/>
                <w:szCs w:val="18"/>
                <w:color w:val="auto"/>
              </w:rPr>
            </w:pP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ind w:right="474"/>
              <w:spacing w:after="0"/>
              <w:rPr>
                <w:sz w:val="20"/>
                <w:szCs w:val="20"/>
                <w:color w:val="auto"/>
              </w:rPr>
            </w:pPr>
            <w:r>
              <w:rPr>
                <w:rFonts w:ascii="Arial" w:cs="Arial" w:eastAsia="Arial" w:hAnsi="Arial"/>
                <w:sz w:val="18"/>
                <w:szCs w:val="18"/>
                <w:color w:val="auto"/>
              </w:rPr>
              <w:t>, 2020</w:t>
            </w:r>
          </w:p>
        </w:tc>
      </w:tr>
      <w:tr>
        <w:trPr>
          <w:trHeight w:val="40"/>
        </w:trPr>
        <w:tc>
          <w:tcPr>
            <w:tcW w:w="2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Jim Tananbaum</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rPr>
              <w:t>(Principal Executive Officer)</w:t>
            </w:r>
          </w:p>
        </w:tc>
        <w:tc>
          <w:tcPr>
            <w:tcW w:w="2000" w:type="dxa"/>
            <w:vAlign w:val="bottom"/>
          </w:tcPr>
          <w:p>
            <w:pPr>
              <w:spacing w:after="0"/>
              <w:rPr>
                <w:sz w:val="20"/>
                <w:szCs w:val="20"/>
                <w:color w:val="auto"/>
              </w:rPr>
            </w:pPr>
          </w:p>
        </w:tc>
      </w:tr>
      <w:tr>
        <w:trPr>
          <w:trHeight w:val="378"/>
        </w:trPr>
        <w:tc>
          <w:tcPr>
            <w:tcW w:w="2400" w:type="dxa"/>
            <w:vAlign w:val="bottom"/>
          </w:tcPr>
          <w:p>
            <w:pPr>
              <w:spacing w:after="0"/>
              <w:rPr>
                <w:sz w:val="24"/>
                <w:szCs w:val="24"/>
                <w:color w:val="auto"/>
              </w:rPr>
            </w:pP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rPr>
              <w:t>Chief Financial Officer</w:t>
            </w:r>
          </w:p>
        </w:tc>
        <w:tc>
          <w:tcPr>
            <w:tcW w:w="2000" w:type="dxa"/>
            <w:vAlign w:val="bottom"/>
          </w:tcPr>
          <w:p>
            <w:pPr>
              <w:jc w:val="right"/>
              <w:ind w:right="474"/>
              <w:spacing w:after="0"/>
              <w:rPr>
                <w:sz w:val="20"/>
                <w:szCs w:val="20"/>
                <w:color w:val="auto"/>
              </w:rPr>
            </w:pPr>
            <w:r>
              <w:rPr>
                <w:rFonts w:ascii="Arial" w:cs="Arial" w:eastAsia="Arial" w:hAnsi="Arial"/>
                <w:sz w:val="18"/>
                <w:szCs w:val="18"/>
                <w:color w:val="auto"/>
              </w:rPr>
              <w:t>, 2020</w:t>
            </w:r>
          </w:p>
        </w:tc>
      </w:tr>
      <w:tr>
        <w:trPr>
          <w:trHeight w:val="40"/>
        </w:trPr>
        <w:tc>
          <w:tcPr>
            <w:tcW w:w="2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Dennis Ryan</w:t>
            </w: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2000" w:type="dxa"/>
            <w:vAlign w:val="bottom"/>
          </w:tcPr>
          <w:p>
            <w:pPr>
              <w:spacing w:after="0"/>
              <w:rPr>
                <w:sz w:val="20"/>
                <w:szCs w:val="20"/>
                <w:color w:val="auto"/>
              </w:rPr>
            </w:pPr>
          </w:p>
        </w:tc>
      </w:tr>
      <w:tr>
        <w:trPr>
          <w:trHeight w:val="378"/>
        </w:trPr>
        <w:tc>
          <w:tcPr>
            <w:tcW w:w="2400" w:type="dxa"/>
            <w:vAlign w:val="bottom"/>
          </w:tcPr>
          <w:p>
            <w:pPr>
              <w:spacing w:after="0"/>
              <w:rPr>
                <w:sz w:val="24"/>
                <w:szCs w:val="24"/>
                <w:color w:val="auto"/>
              </w:rPr>
            </w:pP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rPr>
              <w:t>Vice President and Director</w:t>
            </w:r>
          </w:p>
        </w:tc>
        <w:tc>
          <w:tcPr>
            <w:tcW w:w="2000" w:type="dxa"/>
            <w:vAlign w:val="bottom"/>
          </w:tcPr>
          <w:p>
            <w:pPr>
              <w:jc w:val="right"/>
              <w:ind w:right="474"/>
              <w:spacing w:after="0"/>
              <w:rPr>
                <w:sz w:val="20"/>
                <w:szCs w:val="20"/>
                <w:color w:val="auto"/>
              </w:rPr>
            </w:pPr>
            <w:r>
              <w:rPr>
                <w:rFonts w:ascii="Arial" w:cs="Arial" w:eastAsia="Arial" w:hAnsi="Arial"/>
                <w:sz w:val="18"/>
                <w:szCs w:val="18"/>
                <w:color w:val="auto"/>
              </w:rPr>
              <w:t>, 2020</w:t>
            </w:r>
          </w:p>
        </w:tc>
      </w:tr>
      <w:tr>
        <w:trPr>
          <w:trHeight w:val="40"/>
        </w:trPr>
        <w:tc>
          <w:tcPr>
            <w:tcW w:w="2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Michael Rome</w:t>
            </w:r>
          </w:p>
        </w:tc>
        <w:tc>
          <w:tcPr>
            <w:tcW w:w="1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378"/>
        </w:trPr>
        <w:tc>
          <w:tcPr>
            <w:tcW w:w="2400" w:type="dxa"/>
            <w:vAlign w:val="bottom"/>
          </w:tcPr>
          <w:p>
            <w:pPr>
              <w:spacing w:after="0"/>
              <w:rPr>
                <w:sz w:val="24"/>
                <w:szCs w:val="24"/>
                <w:color w:val="auto"/>
              </w:rPr>
            </w:pPr>
          </w:p>
        </w:tc>
        <w:tc>
          <w:tcPr>
            <w:tcW w:w="370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00" w:type="dxa"/>
            <w:vAlign w:val="bottom"/>
          </w:tcPr>
          <w:p>
            <w:pPr>
              <w:jc w:val="right"/>
              <w:ind w:right="474"/>
              <w:spacing w:after="0"/>
              <w:rPr>
                <w:sz w:val="20"/>
                <w:szCs w:val="20"/>
                <w:color w:val="auto"/>
              </w:rPr>
            </w:pPr>
            <w:r>
              <w:rPr>
                <w:rFonts w:ascii="Arial" w:cs="Arial" w:eastAsia="Arial" w:hAnsi="Arial"/>
                <w:sz w:val="18"/>
                <w:szCs w:val="18"/>
                <w:color w:val="auto"/>
              </w:rPr>
              <w:t>, 2020</w:t>
            </w:r>
          </w:p>
        </w:tc>
      </w:tr>
      <w:tr>
        <w:trPr>
          <w:trHeight w:val="40"/>
        </w:trPr>
        <w:tc>
          <w:tcPr>
            <w:tcW w:w="2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Pr>
          <w:p>
            <w:pPr>
              <w:spacing w:after="0"/>
              <w:rPr>
                <w:sz w:val="3"/>
                <w:szCs w:val="3"/>
                <w:color w:val="auto"/>
              </w:rPr>
            </w:pPr>
          </w:p>
        </w:tc>
      </w:tr>
      <w:tr>
        <w:trPr>
          <w:trHeight w:val="237"/>
        </w:trPr>
        <w:tc>
          <w:tcPr>
            <w:tcW w:w="2400" w:type="dxa"/>
            <w:vAlign w:val="bottom"/>
          </w:tcPr>
          <w:p>
            <w:pPr>
              <w:spacing w:after="0"/>
              <w:rPr>
                <w:sz w:val="20"/>
                <w:szCs w:val="20"/>
                <w:color w:val="auto"/>
              </w:rPr>
            </w:pPr>
            <w:r>
              <w:rPr>
                <w:rFonts w:ascii="Arial" w:cs="Arial" w:eastAsia="Arial" w:hAnsi="Arial"/>
                <w:sz w:val="18"/>
                <w:szCs w:val="18"/>
                <w:color w:val="auto"/>
              </w:rPr>
              <w:t>Vikram Bajaj</w:t>
            </w:r>
          </w:p>
        </w:tc>
        <w:tc>
          <w:tcPr>
            <w:tcW w:w="1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-1905</wp:posOffset>
            </wp:positionV>
            <wp:extent cx="514350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A026FA"/>
    <w:multiLevelType w:val="hybridMultilevel"/>
    <w:lvl w:ilvl="0">
      <w:lvlJc w:val="left"/>
      <w:lvlText w:val="(%1)"/>
      <w:numFmt w:val="decimal"/>
      <w:start w:val="1"/>
    </w:lvl>
  </w:abstractNum>
  <w:abstractNum w:abstractNumId="1">
    <w:nsid w:val="79A1DEAA"/>
    <w:multiLevelType w:val="hybridMultilevel"/>
    <w:lvl w:ilvl="0">
      <w:lvlJc w:val="left"/>
      <w:lvlText w:val="(%1)"/>
      <w:numFmt w:val="decimal"/>
      <w:start w:val="1"/>
    </w:lvl>
  </w:abstractNum>
  <w:abstractNum w:abstractNumId="2">
    <w:nsid w:val="75C6C33A"/>
    <w:multiLevelType w:val="hybridMultilevel"/>
    <w:lvl w:ilvl="0">
      <w:lvlJc w:val="left"/>
      <w:lvlText w:val="•"/>
      <w:numFmt w:val="bullet"/>
      <w:start w:val="1"/>
    </w:lvl>
  </w:abstractNum>
  <w:abstractNum w:abstractNumId="3">
    <w:nsid w:val="12E685FB"/>
    <w:multiLevelType w:val="hybridMultilevel"/>
    <w:lvl w:ilvl="0">
      <w:lvlJc w:val="left"/>
      <w:lvlText w:val="•"/>
      <w:numFmt w:val="bullet"/>
      <w:start w:val="1"/>
    </w:lvl>
  </w:abstractNum>
  <w:abstractNum w:abstractNumId="4">
    <w:nsid w:val="70C6A529"/>
    <w:multiLevelType w:val="hybridMultilevel"/>
    <w:lvl w:ilvl="0">
      <w:lvlJc w:val="left"/>
      <w:lvlText w:val="•"/>
      <w:numFmt w:val="bullet"/>
      <w:start w:val="1"/>
    </w:lvl>
  </w:abstractNum>
  <w:abstractNum w:abstractNumId="5">
    <w:nsid w:val="520EEDD1"/>
    <w:multiLevelType w:val="hybridMultilevel"/>
    <w:lvl w:ilvl="0">
      <w:lvlJc w:val="left"/>
      <w:lvlText w:val="•"/>
      <w:numFmt w:val="bullet"/>
      <w:start w:val="1"/>
    </w:lvl>
  </w:abstractNum>
  <w:abstractNum w:abstractNumId="6">
    <w:nsid w:val="374A3FE6"/>
    <w:multiLevelType w:val="hybridMultilevel"/>
    <w:lvl w:ilvl="0">
      <w:lvlJc w:val="left"/>
      <w:lvlText w:val="•"/>
      <w:numFmt w:val="bullet"/>
      <w:start w:val="1"/>
    </w:lvl>
  </w:abstractNum>
  <w:abstractNum w:abstractNumId="7">
    <w:nsid w:val="4F4EF005"/>
    <w:multiLevelType w:val="hybridMultilevel"/>
    <w:lvl w:ilvl="0">
      <w:lvlJc w:val="left"/>
      <w:lvlText w:val="(%1)"/>
      <w:numFmt w:val="decimal"/>
      <w:start w:val="2"/>
    </w:lvl>
  </w:abstractNum>
  <w:abstractNum w:abstractNumId="8">
    <w:nsid w:val="23F9C13C"/>
    <w:multiLevelType w:val="hybridMultilevel"/>
    <w:lvl w:ilvl="0">
      <w:lvlJc w:val="left"/>
      <w:lvlText w:val="(%1)"/>
      <w:numFmt w:val="decimal"/>
      <w:start w:val="1"/>
    </w:lvl>
  </w:abstractNum>
  <w:abstractNum w:abstractNumId="9">
    <w:nsid w:val="649BB77C"/>
    <w:multiLevelType w:val="hybridMultilevel"/>
    <w:lvl w:ilvl="0">
      <w:lvlJc w:val="left"/>
      <w:lvlText w:val="•"/>
      <w:numFmt w:val="bullet"/>
      <w:start w:val="1"/>
    </w:lvl>
  </w:abstractNum>
  <w:abstractNum w:abstractNumId="10">
    <w:nsid w:val="275AC794"/>
    <w:multiLevelType w:val="hybridMultilevel"/>
    <w:lvl w:ilvl="0">
      <w:lvlJc w:val="left"/>
      <w:lvlText w:val="•"/>
      <w:numFmt w:val="bullet"/>
      <w:start w:val="1"/>
    </w:lvl>
  </w:abstractNum>
  <w:abstractNum w:abstractNumId="11">
    <w:nsid w:val="39386575"/>
    <w:multiLevelType w:val="hybridMultilevel"/>
    <w:lvl w:ilvl="0">
      <w:lvlJc w:val="left"/>
      <w:lvlText w:val="•"/>
      <w:numFmt w:val="bullet"/>
      <w:start w:val="1"/>
    </w:lvl>
  </w:abstractNum>
  <w:abstractNum w:abstractNumId="12">
    <w:nsid w:val="1CF10FD8"/>
    <w:multiLevelType w:val="hybridMultilevel"/>
    <w:lvl w:ilvl="0">
      <w:lvlJc w:val="left"/>
      <w:lvlText w:val="•"/>
      <w:numFmt w:val="bullet"/>
      <w:start w:val="1"/>
    </w:lvl>
  </w:abstractNum>
  <w:abstractNum w:abstractNumId="13">
    <w:nsid w:val="180115BE"/>
    <w:multiLevelType w:val="hybridMultilevel"/>
    <w:lvl w:ilvl="0">
      <w:lvlJc w:val="left"/>
      <w:lvlText w:val="•"/>
      <w:numFmt w:val="bullet"/>
      <w:start w:val="1"/>
    </w:lvl>
  </w:abstractNum>
  <w:abstractNum w:abstractNumId="14">
    <w:nsid w:val="235BA861"/>
    <w:multiLevelType w:val="hybridMultilevel"/>
    <w:lvl w:ilvl="0">
      <w:lvlJc w:val="left"/>
      <w:lvlText w:val="•"/>
      <w:numFmt w:val="bullet"/>
      <w:start w:val="1"/>
    </w:lvl>
  </w:abstractNum>
  <w:abstractNum w:abstractNumId="15">
    <w:nsid w:val="47398C89"/>
    <w:multiLevelType w:val="hybridMultilevel"/>
    <w:lvl w:ilvl="0">
      <w:lvlJc w:val="left"/>
      <w:lvlText w:val="(%1)"/>
      <w:numFmt w:val="lowerRoman"/>
      <w:start w:val="3"/>
    </w:lvl>
  </w:abstractNum>
  <w:abstractNum w:abstractNumId="16">
    <w:nsid w:val="354FE9F9"/>
    <w:multiLevelType w:val="hybridMultilevel"/>
    <w:lvl w:ilvl="0">
      <w:lvlJc w:val="left"/>
      <w:lvlText w:val="•"/>
      <w:numFmt w:val="bullet"/>
      <w:start w:val="1"/>
    </w:lvl>
  </w:abstractNum>
  <w:abstractNum w:abstractNumId="17">
    <w:nsid w:val="15B5AF5C"/>
    <w:multiLevelType w:val="hybridMultilevel"/>
    <w:lvl w:ilvl="0">
      <w:lvlJc w:val="left"/>
      <w:lvlText w:val="•"/>
      <w:numFmt w:val="bullet"/>
      <w:start w:val="1"/>
    </w:lvl>
  </w:abstractNum>
  <w:abstractNum w:abstractNumId="18">
    <w:nsid w:val="741226BB"/>
    <w:multiLevelType w:val="hybridMultilevel"/>
    <w:lvl w:ilvl="0">
      <w:lvlJc w:val="left"/>
      <w:lvlText w:val="(%1)"/>
      <w:numFmt w:val="lowerRoman"/>
      <w:start w:val="1"/>
    </w:lvl>
  </w:abstractNum>
  <w:abstractNum w:abstractNumId="19">
    <w:nsid w:val="D34B6A8"/>
    <w:multiLevelType w:val="hybridMultilevel"/>
    <w:lvl w:ilvl="0">
      <w:lvlJc w:val="left"/>
      <w:lvlText w:val="•"/>
      <w:numFmt w:val="bullet"/>
      <w:start w:val="1"/>
    </w:lvl>
  </w:abstractNum>
  <w:abstractNum w:abstractNumId="20">
    <w:nsid w:val="10233C99"/>
    <w:multiLevelType w:val="hybridMultilevel"/>
    <w:lvl w:ilvl="0">
      <w:lvlJc w:val="left"/>
      <w:lvlText w:val="•"/>
      <w:numFmt w:val="bullet"/>
      <w:start w:val="1"/>
    </w:lvl>
  </w:abstractNum>
  <w:abstractNum w:abstractNumId="21">
    <w:nsid w:val="3F6AB60F"/>
    <w:multiLevelType w:val="hybridMultilevel"/>
    <w:lvl w:ilvl="0">
      <w:lvlJc w:val="left"/>
      <w:lvlText w:val="(%1)"/>
      <w:numFmt w:val="lowerRoman"/>
      <w:start w:val="2"/>
    </w:lvl>
  </w:abstractNum>
  <w:abstractNum w:abstractNumId="22">
    <w:nsid w:val="61574095"/>
    <w:multiLevelType w:val="hybridMultilevel"/>
    <w:lvl w:ilvl="0">
      <w:lvlJc w:val="left"/>
      <w:lvlText w:val="•"/>
      <w:numFmt w:val="bullet"/>
      <w:start w:val="1"/>
    </w:lvl>
  </w:abstractNum>
  <w:abstractNum w:abstractNumId="23">
    <w:nsid w:val="7E0C57B1"/>
    <w:multiLevelType w:val="hybridMultilevel"/>
    <w:lvl w:ilvl="0">
      <w:lvlJc w:val="left"/>
      <w:lvlText w:val="•"/>
      <w:numFmt w:val="bullet"/>
      <w:start w:val="1"/>
    </w:lvl>
  </w:abstractNum>
  <w:abstractNum w:abstractNumId="24">
    <w:nsid w:val="77AE35EB"/>
    <w:multiLevelType w:val="hybridMultilevel"/>
    <w:lvl w:ilvl="0">
      <w:lvlJc w:val="left"/>
      <w:lvlText w:val="•"/>
      <w:numFmt w:val="bullet"/>
      <w:start w:val="1"/>
    </w:lvl>
  </w:abstractNum>
  <w:abstractNum w:abstractNumId="25">
    <w:nsid w:val="579BE4F1"/>
    <w:multiLevelType w:val="hybridMultilevel"/>
    <w:lvl w:ilvl="0">
      <w:lvlJc w:val="left"/>
      <w:lvlText w:val="•"/>
      <w:numFmt w:val="bullet"/>
      <w:start w:val="1"/>
    </w:lvl>
  </w:abstractNum>
  <w:abstractNum w:abstractNumId="26">
    <w:nsid w:val="310C50B3"/>
    <w:multiLevelType w:val="hybridMultilevel"/>
    <w:lvl w:ilvl="0">
      <w:lvlJc w:val="left"/>
      <w:lvlText w:val="(%1)"/>
      <w:numFmt w:val="lowerRoman"/>
      <w:start w:val="2"/>
    </w:lvl>
  </w:abstractNum>
  <w:abstractNum w:abstractNumId="27">
    <w:nsid w:val="5FF87E05"/>
    <w:multiLevelType w:val="hybridMultilevel"/>
    <w:lvl w:ilvl="0">
      <w:lvlJc w:val="left"/>
      <w:lvlText w:val="•"/>
      <w:numFmt w:val="bullet"/>
      <w:start w:val="1"/>
    </w:lvl>
  </w:abstractNum>
  <w:abstractNum w:abstractNumId="28">
    <w:nsid w:val="2F305DEF"/>
    <w:multiLevelType w:val="hybridMultilevel"/>
    <w:lvl w:ilvl="0">
      <w:lvlJc w:val="left"/>
      <w:lvlText w:val="(%1)"/>
      <w:numFmt w:val="lowerRoman"/>
      <w:start w:val="2"/>
    </w:lvl>
  </w:abstractNum>
  <w:abstractNum w:abstractNumId="29">
    <w:nsid w:val="25A70BF7"/>
    <w:multiLevelType w:val="hybridMultilevel"/>
    <w:lvl w:ilvl="0">
      <w:lvlJc w:val="left"/>
      <w:lvlText w:val="•"/>
      <w:numFmt w:val="bullet"/>
      <w:start w:val="1"/>
    </w:lvl>
  </w:abstractNum>
  <w:abstractNum w:abstractNumId="30">
    <w:nsid w:val="1DBABF00"/>
    <w:multiLevelType w:val="hybridMultilevel"/>
    <w:lvl w:ilvl="0">
      <w:lvlJc w:val="left"/>
      <w:lvlText w:val="•"/>
      <w:numFmt w:val="bullet"/>
      <w:start w:val="1"/>
    </w:lvl>
  </w:abstractNum>
  <w:abstractNum w:abstractNumId="31">
    <w:nsid w:val="4AD084E9"/>
    <w:multiLevelType w:val="hybridMultilevel"/>
    <w:lvl w:ilvl="0">
      <w:lvlJc w:val="left"/>
      <w:lvlText w:val="(%1)"/>
      <w:numFmt w:val="decimal"/>
      <w:start w:val="1"/>
    </w:lvl>
  </w:abstractNum>
  <w:abstractNum w:abstractNumId="32">
    <w:nsid w:val="1F48EAA1"/>
    <w:multiLevelType w:val="hybridMultilevel"/>
    <w:lvl w:ilvl="0">
      <w:lvlJc w:val="left"/>
      <w:lvlText w:val="(%1)"/>
      <w:numFmt w:val="decimal"/>
      <w:start w:val="4"/>
    </w:lvl>
  </w:abstractNum>
  <w:abstractNum w:abstractNumId="33">
    <w:nsid w:val="1381823A"/>
    <w:multiLevelType w:val="hybridMultilevel"/>
    <w:lvl w:ilvl="0">
      <w:lvlJc w:val="left"/>
      <w:lvlText w:val="(%1)"/>
      <w:numFmt w:val="decimal"/>
      <w:start w:val="1"/>
    </w:lvl>
  </w:abstractNum>
  <w:abstractNum w:abstractNumId="34">
    <w:nsid w:val="5DB70AE5"/>
    <w:multiLevelType w:val="hybridMultilevel"/>
    <w:lvl w:ilvl="0">
      <w:lvlJc w:val="left"/>
      <w:lvlText w:val="(%1)"/>
      <w:numFmt w:val="decimal"/>
      <w:start w:val="1"/>
    </w:lvl>
  </w:abstractNum>
  <w:abstractNum w:abstractNumId="35">
    <w:nsid w:val="100F8FCA"/>
    <w:multiLevelType w:val="hybridMultilevel"/>
    <w:lvl w:ilvl="0">
      <w:lvlJc w:val="left"/>
      <w:lvlText w:val="(%1)"/>
      <w:numFmt w:val="decimal"/>
      <w:start w:val="1"/>
    </w:lvl>
  </w:abstractNum>
  <w:abstractNum w:abstractNumId="36">
    <w:nsid w:val="6590700B"/>
    <w:multiLevelType w:val="hybridMultilevel"/>
    <w:lvl w:ilvl="0">
      <w:lvlJc w:val="left"/>
      <w:lvlText w:val="•"/>
      <w:numFmt w:val="bullet"/>
      <w:start w:val="1"/>
    </w:lvl>
  </w:abstractNum>
  <w:abstractNum w:abstractNumId="37">
    <w:nsid w:val="15014ACB"/>
    <w:multiLevelType w:val="hybridMultilevel"/>
    <w:lvl w:ilvl="0">
      <w:lvlJc w:val="left"/>
      <w:lvlText w:val="•"/>
      <w:numFmt w:val="bullet"/>
      <w:start w:val="1"/>
    </w:lvl>
  </w:abstractNum>
  <w:abstractNum w:abstractNumId="38">
    <w:nsid w:val="5F5E7FD0"/>
    <w:multiLevelType w:val="hybridMultilevel"/>
    <w:lvl w:ilvl="0">
      <w:lvlJc w:val="left"/>
      <w:lvlText w:val="•"/>
      <w:numFmt w:val="bullet"/>
      <w:start w:val="1"/>
    </w:lvl>
  </w:abstractNum>
  <w:abstractNum w:abstractNumId="39">
    <w:nsid w:val="98A3148"/>
    <w:multiLevelType w:val="hybridMultilevel"/>
    <w:lvl w:ilvl="0">
      <w:lvlJc w:val="left"/>
      <w:lvlText w:val="•"/>
      <w:numFmt w:val="bullet"/>
      <w:start w:val="1"/>
    </w:lvl>
  </w:abstractNum>
  <w:abstractNum w:abstractNumId="40">
    <w:nsid w:val="799D0247"/>
    <w:multiLevelType w:val="hybridMultilevel"/>
    <w:lvl w:ilvl="0">
      <w:lvlJc w:val="left"/>
      <w:lvlText w:val="•"/>
      <w:numFmt w:val="bullet"/>
      <w:start w:val="1"/>
    </w:lvl>
  </w:abstractNum>
  <w:abstractNum w:abstractNumId="41">
    <w:nsid w:val="6B94764"/>
    <w:multiLevelType w:val="hybridMultilevel"/>
    <w:lvl w:ilvl="0">
      <w:lvlJc w:val="left"/>
      <w:lvlText w:val="•"/>
      <w:numFmt w:val="bullet"/>
      <w:start w:val="1"/>
    </w:lvl>
  </w:abstractNum>
  <w:abstractNum w:abstractNumId="42">
    <w:nsid w:val="42C296BD"/>
    <w:multiLevelType w:val="hybridMultilevel"/>
    <w:lvl w:ilvl="0">
      <w:lvlJc w:val="left"/>
      <w:lvlText w:val="•"/>
      <w:numFmt w:val="bullet"/>
      <w:start w:val="1"/>
    </w:lvl>
  </w:abstractNum>
  <w:abstractNum w:abstractNumId="43">
    <w:nsid w:val="168E121F"/>
    <w:multiLevelType w:val="hybridMultilevel"/>
    <w:lvl w:ilvl="0">
      <w:lvlJc w:val="left"/>
      <w:lvlText w:val="•"/>
      <w:numFmt w:val="bullet"/>
      <w:start w:val="1"/>
    </w:lvl>
  </w:abstractNum>
  <w:abstractNum w:abstractNumId="44">
    <w:nsid w:val="1EBA5D23"/>
    <w:multiLevelType w:val="hybridMultilevel"/>
    <w:lvl w:ilvl="0">
      <w:lvlJc w:val="left"/>
      <w:lvlText w:val="•"/>
      <w:numFmt w:val="bullet"/>
      <w:start w:val="1"/>
    </w:lvl>
  </w:abstractNum>
  <w:abstractNum w:abstractNumId="45">
    <w:nsid w:val="661E3F1E"/>
    <w:multiLevelType w:val="hybridMultilevel"/>
    <w:lvl w:ilvl="0">
      <w:lvlJc w:val="left"/>
      <w:lvlText w:val="•"/>
      <w:numFmt w:val="bullet"/>
      <w:start w:val="1"/>
    </w:lvl>
  </w:abstractNum>
  <w:abstractNum w:abstractNumId="46">
    <w:nsid w:val="5DC79EA8"/>
    <w:multiLevelType w:val="hybridMultilevel"/>
    <w:lvl w:ilvl="0">
      <w:lvlJc w:val="left"/>
      <w:lvlText w:val="["/>
      <w:numFmt w:val="bullet"/>
      <w:start w:val="1"/>
    </w:lvl>
  </w:abstractNum>
  <w:abstractNum w:abstractNumId="47">
    <w:nsid w:val="540A471C"/>
    <w:multiLevelType w:val="hybridMultilevel"/>
    <w:lvl w:ilvl="0">
      <w:lvlJc w:val="left"/>
      <w:lvlText w:val="•"/>
      <w:numFmt w:val="bullet"/>
      <w:start w:val="1"/>
    </w:lvl>
  </w:abstractNum>
  <w:abstractNum w:abstractNumId="48">
    <w:nsid w:val="7BD3EE7B"/>
    <w:multiLevelType w:val="hybridMultilevel"/>
    <w:lvl w:ilvl="0">
      <w:lvlJc w:val="left"/>
      <w:lvlText w:val="•"/>
      <w:numFmt w:val="bullet"/>
      <w:start w:val="1"/>
    </w:lvl>
  </w:abstractNum>
  <w:abstractNum w:abstractNumId="49">
    <w:nsid w:val="51D9C564"/>
    <w:multiLevelType w:val="hybridMultilevel"/>
    <w:lvl w:ilvl="0">
      <w:lvlJc w:val="left"/>
      <w:lvlText w:val="•"/>
      <w:numFmt w:val="bullet"/>
      <w:start w:val="1"/>
    </w:lvl>
  </w:abstractNum>
  <w:abstractNum w:abstractNumId="50">
    <w:nsid w:val="613EFDC5"/>
    <w:multiLevelType w:val="hybridMultilevel"/>
    <w:lvl w:ilvl="0">
      <w:lvlJc w:val="left"/>
      <w:lvlText w:val="•"/>
      <w:numFmt w:val="bullet"/>
      <w:start w:val="1"/>
    </w:lvl>
  </w:abstractNum>
  <w:abstractNum w:abstractNumId="51">
    <w:nsid w:val="BF72B14"/>
    <w:multiLevelType w:val="hybridMultilevel"/>
    <w:lvl w:ilvl="0">
      <w:lvlJc w:val="left"/>
      <w:lvlText w:val="•"/>
      <w:numFmt w:val="bullet"/>
      <w:start w:val="1"/>
    </w:lvl>
  </w:abstractNum>
  <w:abstractNum w:abstractNumId="52">
    <w:nsid w:val="11447B73"/>
    <w:multiLevelType w:val="hybridMultilevel"/>
    <w:lvl w:ilvl="0">
      <w:lvlJc w:val="left"/>
      <w:lvlText w:val="•"/>
      <w:numFmt w:val="bullet"/>
      <w:start w:val="1"/>
    </w:lvl>
  </w:abstractNum>
  <w:abstractNum w:abstractNumId="53">
    <w:nsid w:val="42963E5A"/>
    <w:multiLevelType w:val="hybridMultilevel"/>
    <w:lvl w:ilvl="0">
      <w:lvlJc w:val="left"/>
      <w:lvlText w:val="•"/>
      <w:numFmt w:val="bullet"/>
      <w:start w:val="1"/>
    </w:lvl>
  </w:abstractNum>
  <w:abstractNum w:abstractNumId="54">
    <w:nsid w:val="A0382C5"/>
    <w:multiLevelType w:val="hybridMultilevel"/>
    <w:lvl w:ilvl="0">
      <w:lvlJc w:val="left"/>
      <w:lvlText w:val="(%1)"/>
      <w:numFmt w:val="decimal"/>
      <w:start w:val="1"/>
    </w:lvl>
  </w:abstractNum>
  <w:abstractNum w:abstractNumId="55">
    <w:nsid w:val="8F2B15E"/>
    <w:multiLevelType w:val="hybridMultilevel"/>
    <w:lvl w:ilvl="0">
      <w:lvlJc w:val="left"/>
      <w:lvlText w:val="(%1)"/>
      <w:numFmt w:val="lowerRoman"/>
      <w:start w:val="2"/>
    </w:lvl>
  </w:abstractNum>
  <w:abstractNum w:abstractNumId="56">
    <w:nsid w:val="1A32234B"/>
    <w:multiLevelType w:val="hybridMultilevel"/>
    <w:lvl w:ilvl="0">
      <w:lvlJc w:val="left"/>
      <w:lvlText w:val="(%1)"/>
      <w:numFmt w:val="lowerRoman"/>
      <w:start w:val="1"/>
    </w:lvl>
  </w:abstractNum>
  <w:abstractNum w:abstractNumId="57">
    <w:nsid w:val="3B0FD379"/>
    <w:multiLevelType w:val="hybridMultilevel"/>
    <w:lvl w:ilvl="0">
      <w:lvlJc w:val="left"/>
      <w:lvlText w:val="•"/>
      <w:numFmt w:val="bullet"/>
      <w:start w:val="1"/>
    </w:lvl>
  </w:abstractNum>
  <w:abstractNum w:abstractNumId="58">
    <w:nsid w:val="68EB2F63"/>
    <w:multiLevelType w:val="hybridMultilevel"/>
    <w:lvl w:ilvl="0">
      <w:lvlJc w:val="left"/>
      <w:lvlText w:val="(%1)"/>
      <w:numFmt w:val="upperLetter"/>
      <w:start w:val="1"/>
    </w:lvl>
  </w:abstractNum>
  <w:abstractNum w:abstractNumId="59">
    <w:nsid w:val="4962813B"/>
    <w:multiLevelType w:val="hybridMultilevel"/>
    <w:lvl w:ilvl="0">
      <w:lvlJc w:val="left"/>
      <w:lvlText w:val="•"/>
      <w:numFmt w:val="bullet"/>
      <w:start w:val="1"/>
    </w:lvl>
  </w:abstractNum>
  <w:abstractNum w:abstractNumId="60">
    <w:nsid w:val="60B6DF70"/>
    <w:multiLevelType w:val="hybridMultilevel"/>
    <w:lvl w:ilvl="0">
      <w:lvlJc w:val="left"/>
      <w:lvlText w:val="•"/>
      <w:numFmt w:val="bullet"/>
      <w:start w:val="1"/>
    </w:lvl>
  </w:abstractNum>
  <w:abstractNum w:abstractNumId="61">
    <w:nsid w:val="6A5EE64"/>
    <w:multiLevelType w:val="hybridMultilevel"/>
    <w:lvl w:ilvl="0">
      <w:lvlJc w:val="left"/>
      <w:lvlText w:val="•"/>
      <w:numFmt w:val="bullet"/>
      <w:start w:val="1"/>
    </w:lvl>
    <w:lvl w:ilvl="1">
      <w:lvlJc w:val="left"/>
      <w:lvlText w:val="(%2)"/>
      <w:numFmt w:val="lowerLetter"/>
      <w:start w:val="35"/>
    </w:lvl>
  </w:abstractNum>
  <w:abstractNum w:abstractNumId="62">
    <w:nsid w:val="14330624"/>
    <w:multiLevelType w:val="hybridMultilevel"/>
    <w:lvl w:ilvl="0">
      <w:lvlJc w:val="left"/>
      <w:lvlText w:val="•"/>
      <w:numFmt w:val="bullet"/>
      <w:start w:val="1"/>
    </w:lvl>
    <w:lvl w:ilvl="1">
      <w:lvlJc w:val="left"/>
      <w:lvlText w:val="(%2)"/>
      <w:numFmt w:val="lowerLetter"/>
      <w:start w:val="25"/>
    </w:lvl>
  </w:abstractNum>
  <w:abstractNum w:abstractNumId="63">
    <w:nsid w:val="7FFFCA11"/>
    <w:multiLevelType w:val="hybridMultilevel"/>
    <w:lvl w:ilvl="0">
      <w:lvlJc w:val="left"/>
      <w:lvlText w:val="•"/>
      <w:numFmt w:val="bullet"/>
      <w:start w:val="1"/>
    </w:lvl>
  </w:abstractNum>
  <w:abstractNum w:abstractNumId="64">
    <w:nsid w:val="1A27709E"/>
    <w:multiLevelType w:val="hybridMultilevel"/>
    <w:lvl w:ilvl="0">
      <w:lvlJc w:val="left"/>
      <w:lvlText w:val="•"/>
      <w:numFmt w:val="bullet"/>
      <w:start w:val="1"/>
    </w:lvl>
  </w:abstractNum>
  <w:abstractNum w:abstractNumId="65">
    <w:nsid w:val="71EA1109"/>
    <w:multiLevelType w:val="hybridMultilevel"/>
    <w:lvl w:ilvl="0">
      <w:lvlJc w:val="left"/>
      <w:lvlText w:val="•"/>
      <w:numFmt w:val="bullet"/>
      <w:start w:val="1"/>
    </w:lvl>
  </w:abstractNum>
  <w:abstractNum w:abstractNumId="66">
    <w:nsid w:val="100F59DC"/>
    <w:multiLevelType w:val="hybridMultilevel"/>
    <w:lvl w:ilvl="0">
      <w:lvlJc w:val="left"/>
      <w:lvlText w:val="(%1)"/>
      <w:numFmt w:val="lowerRoman"/>
      <w:start w:val="2"/>
    </w:lvl>
  </w:abstractNum>
  <w:abstractNum w:abstractNumId="67">
    <w:nsid w:val="7FB7E0AA"/>
    <w:multiLevelType w:val="hybridMultilevel"/>
    <w:lvl w:ilvl="0">
      <w:lvlJc w:val="left"/>
      <w:lvlText w:val="(%1)"/>
      <w:numFmt w:val="upperLetter"/>
      <w:start w:val="2"/>
    </w:lvl>
  </w:abstractNum>
  <w:abstractNum w:abstractNumId="68">
    <w:nsid w:val="6EB5BD4"/>
    <w:multiLevelType w:val="hybridMultilevel"/>
    <w:lvl w:ilvl="0">
      <w:lvlJc w:val="left"/>
      <w:lvlText w:val="•"/>
      <w:numFmt w:val="bullet"/>
      <w:start w:val="1"/>
    </w:lvl>
  </w:abstractNum>
  <w:abstractNum w:abstractNumId="69">
    <w:nsid w:val="6F6DD9AC"/>
    <w:multiLevelType w:val="hybridMultilevel"/>
    <w:lvl w:ilvl="0">
      <w:lvlJc w:val="left"/>
      <w:lvlText w:val="•"/>
      <w:numFmt w:val="bullet"/>
      <w:start w:val="1"/>
    </w:lvl>
  </w:abstractNum>
  <w:abstractNum w:abstractNumId="70">
    <w:nsid w:val="94211F2"/>
    <w:multiLevelType w:val="hybridMultilevel"/>
    <w:lvl w:ilvl="0">
      <w:lvlJc w:val="left"/>
      <w:lvlText w:val="•"/>
      <w:numFmt w:val="bullet"/>
      <w:start w:val="1"/>
    </w:lvl>
  </w:abstractNum>
  <w:abstractNum w:abstractNumId="71">
    <w:nsid w:val="885E1B"/>
    <w:multiLevelType w:val="hybridMultilevel"/>
    <w:lvl w:ilvl="0">
      <w:lvlJc w:val="left"/>
      <w:lvlText w:val="(%1)"/>
      <w:numFmt w:val="lowerRoman"/>
      <w:start w:val="3"/>
    </w:lvl>
  </w:abstractNum>
  <w:abstractNum w:abstractNumId="72">
    <w:nsid w:val="76272110"/>
    <w:multiLevelType w:val="hybridMultilevel"/>
    <w:lvl w:ilvl="0">
      <w:lvlJc w:val="left"/>
      <w:lvlText w:val="•"/>
      <w:numFmt w:val="bullet"/>
      <w:start w:val="1"/>
    </w:lvl>
  </w:abstractNum>
  <w:abstractNum w:abstractNumId="73">
    <w:nsid w:val="4C04A8AF"/>
    <w:multiLevelType w:val="hybridMultilevel"/>
    <w:lvl w:ilvl="0">
      <w:lvlJc w:val="left"/>
      <w:lvlText w:val="•"/>
      <w:numFmt w:val="bullet"/>
      <w:start w:val="1"/>
    </w:lvl>
  </w:abstractNum>
  <w:abstractNum w:abstractNumId="74">
    <w:nsid w:val="1716703B"/>
    <w:multiLevelType w:val="hybridMultilevel"/>
    <w:lvl w:ilvl="0">
      <w:lvlJc w:val="left"/>
      <w:lvlText w:val="•"/>
      <w:numFmt w:val="bullet"/>
      <w:start w:val="1"/>
    </w:lvl>
  </w:abstractNum>
  <w:abstractNum w:abstractNumId="75">
    <w:nsid w:val="14E17E33"/>
    <w:multiLevelType w:val="hybridMultilevel"/>
    <w:lvl w:ilvl="0">
      <w:lvlJc w:val="left"/>
      <w:lvlText w:val="•"/>
      <w:numFmt w:val="bullet"/>
      <w:start w:val="1"/>
    </w:lvl>
  </w:abstractNum>
  <w:abstractNum w:abstractNumId="76">
    <w:nsid w:val="3222E7CD"/>
    <w:multiLevelType w:val="hybridMultilevel"/>
    <w:lvl w:ilvl="0">
      <w:lvlJc w:val="left"/>
      <w:lvlText w:val="•"/>
      <w:numFmt w:val="bullet"/>
      <w:start w:val="1"/>
    </w:lvl>
  </w:abstractNum>
  <w:abstractNum w:abstractNumId="77">
    <w:nsid w:val="74DE0EE3"/>
    <w:multiLevelType w:val="hybridMultilevel"/>
    <w:lvl w:ilvl="0">
      <w:lvlJc w:val="left"/>
      <w:lvlText w:val="\emdash "/>
      <w:numFmt w:val="bullet"/>
      <w:start w:val="1"/>
    </w:lvl>
  </w:abstractNum>
  <w:abstractNum w:abstractNumId="78">
    <w:nsid w:val="68EBC550"/>
    <w:multiLevelType w:val="hybridMultilevel"/>
    <w:lvl w:ilvl="0">
      <w:lvlJc w:val="left"/>
      <w:lvlText w:val="(%1)"/>
      <w:numFmt w:val="decimal"/>
      <w:start w:val="1"/>
    </w:lvl>
  </w:abstractNum>
  <w:abstractNum w:abstractNumId="79">
    <w:nsid w:val="2DF6D648"/>
    <w:multiLevelType w:val="hybridMultilevel"/>
    <w:lvl w:ilvl="0">
      <w:lvlJc w:val="left"/>
      <w:lvlText w:val="(%1)"/>
      <w:numFmt w:val="upperLetter"/>
      <w:start w:val="2"/>
    </w:lvl>
  </w:abstractNum>
  <w:abstractNum w:abstractNumId="80">
    <w:nsid w:val="46B7D447"/>
    <w:multiLevelType w:val="hybridMultilevel"/>
    <w:lvl w:ilvl="0">
      <w:lvlJc w:val="left"/>
      <w:lvlText w:val="(%1)"/>
      <w:numFmt w:val="lowerLetter"/>
      <w:start w:val="25"/>
    </w:lvl>
  </w:abstractNum>
  <w:abstractNum w:abstractNumId="81">
    <w:nsid w:val="4A2AC315"/>
    <w:multiLevelType w:val="hybridMultilevel"/>
    <w:lvl w:ilvl="0">
      <w:lvlJc w:val="left"/>
      <w:lvlText w:val="(%1)"/>
      <w:numFmt w:val="lowerLetter"/>
      <w:start w:val="1"/>
    </w:lvl>
  </w:abstractNum>
  <w:abstractNum w:abstractNumId="82">
    <w:nsid w:val="39EE015C"/>
    <w:multiLevelType w:val="hybridMultilevel"/>
    <w:lvl w:ilvl="0">
      <w:lvlJc w:val="left"/>
      <w:lvlText w:val="(%1)"/>
      <w:numFmt w:val="lowerLetter"/>
      <w:start w:val="1"/>
    </w:lvl>
  </w:abstractNum>
  <w:abstractNum w:abstractNumId="83">
    <w:nsid w:val="57FC4FBB"/>
    <w:multiLevelType w:val="hybridMultilevel"/>
    <w:lvl w:ilvl="0">
      <w:lvlJc w:val="left"/>
      <w:lvlText w:val="(%1)"/>
      <w:numFmt w:val="lowerRoman"/>
      <w:start w:val="2"/>
    </w:lvl>
  </w:abstractNum>
  <w:abstractNum w:abstractNumId="84">
    <w:nsid w:val="CC1016F"/>
    <w:multiLevelType w:val="hybridMultilevel"/>
    <w:lvl w:ilvl="0">
      <w:lvlJc w:val="left"/>
      <w:lvlText w:val="(%1)"/>
      <w:numFmt w:val="lowerRoman"/>
      <w:start w:val="3"/>
    </w:lvl>
  </w:abstractNum>
  <w:abstractNum w:abstractNumId="85">
    <w:nsid w:val="43F18422"/>
    <w:multiLevelType w:val="hybridMultilevel"/>
    <w:lvl w:ilvl="0">
      <w:lvlJc w:val="left"/>
      <w:lvlText w:val="(%1)"/>
      <w:numFmt w:val="lowerLetter"/>
      <w:start w:val="1"/>
    </w:lvl>
    <w:lvl w:ilvl="1">
      <w:lvlJc w:val="left"/>
      <w:lvlText w:val="•"/>
      <w:numFmt w:val="bullet"/>
      <w:start w:val="1"/>
    </w:lvl>
  </w:abstractNum>
  <w:abstractNum w:abstractNumId="86">
    <w:nsid w:val="60EF0119"/>
    <w:multiLevelType w:val="hybridMultilevel"/>
    <w:lvl w:ilvl="0">
      <w:lvlJc w:val="left"/>
      <w:lvlText w:val="(%1)"/>
      <w:numFmt w:val="decimal"/>
      <w:start w:val="1"/>
    </w:lvl>
  </w:abstractNum>
  <w:abstractNum w:abstractNumId="87">
    <w:nsid w:val="26F324BA"/>
    <w:multiLevelType w:val="hybridMultilevel"/>
    <w:lvl w:ilvl="0">
      <w:lvlJc w:val="left"/>
      <w:lvlText w:val="(%1)"/>
      <w:numFmt w:val="decimal"/>
      <w:start w:val="1"/>
    </w:lvl>
  </w:abstractNum>
  <w:abstractNum w:abstractNumId="88">
    <w:nsid w:val="7F01579B"/>
    <w:multiLevelType w:val="hybridMultilevel"/>
    <w:lvl w:ilvl="0">
      <w:lvlJc w:val="left"/>
      <w:lvlText w:val="(%1)"/>
      <w:numFmt w:val="decimal"/>
      <w:start w:val="1"/>
    </w:lvl>
  </w:abstractNum>
  <w:abstractNum w:abstractNumId="89">
    <w:nsid w:val="49DA307D"/>
    <w:multiLevelType w:val="hybridMultilevel"/>
    <w:lvl w:ilvl="0">
      <w:lvlJc w:val="left"/>
      <w:lvlText w:val="$"/>
      <w:numFmt w:val="bullet"/>
      <w:start w:val="1"/>
    </w:lvl>
  </w:abstractNum>
  <w:abstractNum w:abstractNumId="90">
    <w:nsid w:val="7055A5F5"/>
    <w:multiLevelType w:val="hybridMultilevel"/>
    <w:lvl w:ilvl="0">
      <w:lvlJc w:val="left"/>
      <w:lvlText w:val="•"/>
      <w:numFmt w:val="bullet"/>
      <w:start w:val="1"/>
    </w:lvl>
  </w:abstractNum>
  <w:abstractNum w:abstractNumId="91">
    <w:nsid w:val="5FB8370B"/>
    <w:multiLevelType w:val="hybridMultilevel"/>
    <w:lvl w:ilvl="0">
      <w:lvlJc w:val="left"/>
      <w:lvlText w:val="•"/>
      <w:numFmt w:val="bullet"/>
      <w:start w:val="1"/>
    </w:lvl>
  </w:abstractNum>
  <w:abstractNum w:abstractNumId="92">
    <w:nsid w:val="50801EE1"/>
    <w:multiLevelType w:val="hybridMultilevel"/>
    <w:lvl w:ilvl="0">
      <w:lvlJc w:val="left"/>
      <w:lvlText w:val="(%1)"/>
      <w:numFmt w:val="decimal"/>
      <w:start w:val="1"/>
    </w:lvl>
  </w:abstractNum>
  <w:abstractNum w:abstractNumId="93">
    <w:nsid w:val="488AC1A"/>
    <w:multiLevelType w:val="hybridMultilevel"/>
    <w:lvl w:ilvl="0">
      <w:lvlJc w:val="left"/>
      <w:lvlText w:val="(%1)"/>
      <w:numFmt w:val="lowerLetter"/>
      <w:start w:val="1"/>
    </w:lvl>
  </w:abstractNum>
  <w:abstractNum w:abstractNumId="94">
    <w:nsid w:val="5FB8011C"/>
    <w:multiLevelType w:val="hybridMultilevel"/>
    <w:lvl w:ilvl="0">
      <w:lvlJc w:val="left"/>
      <w:lvlText w:val="(%1)"/>
      <w:numFmt w:val="lowerLetter"/>
      <w:start w:val="3"/>
    </w:lvl>
  </w:abstractNum>
  <w:abstractNum w:abstractNumId="95">
    <w:nsid w:val="6AA78F7F"/>
    <w:multiLevelType w:val="hybridMultilevel"/>
    <w:lvl w:ilvl="0">
      <w:lvlJc w:val="left"/>
      <w:lvlText w:val="(%1)"/>
      <w:numFmt w:val="lowerLetter"/>
      <w:start w:val="10"/>
    </w:lvl>
  </w:abstractNum>
  <w:abstractNum w:abstractNumId="96">
    <w:nsid w:val="7672BD23"/>
    <w:multiLevelType w:val="hybridMultilevel"/>
    <w:lvl w:ilvl="0">
      <w:lvlJc w:val="left"/>
      <w:lvlText w:val="(%1)"/>
      <w:numFmt w:val="lowerLetter"/>
      <w:start w:val="1"/>
    </w:lvl>
  </w:abstractNum>
  <w:abstractNum w:abstractNumId="97">
    <w:nsid w:val="6FC75AF8"/>
    <w:multiLevelType w:val="hybridMultilevel"/>
    <w:lvl w:ilvl="0">
      <w:lvlJc w:val="left"/>
      <w:lvlText w:val="%1"/>
      <w:numFmt w:val="decimal"/>
      <w:start w:val="24"/>
    </w:lvl>
  </w:abstractNum>
  <w:abstractNum w:abstractNumId="98">
    <w:nsid w:val="6A5F7029"/>
    <w:multiLevelType w:val="hybridMultilevel"/>
    <w:lvl w:ilvl="0">
      <w:lvlJc w:val="left"/>
      <w:lvlText w:val="*"/>
      <w:numFmt w:val="bullet"/>
      <w:start w:val="1"/>
    </w:lvl>
  </w:abstractNum>
  <w:abstractNum w:abstractNumId="99">
    <w:nsid w:val="7D5E18F8"/>
    <w:multiLevelType w:val="hybridMultilevel"/>
    <w:lvl w:ilvl="0">
      <w:lvlJc w:val="left"/>
      <w:lvlText w:val="(%1)"/>
      <w:numFmt w:val="lowerLetter"/>
      <w:start w:val="2"/>
    </w:lvl>
  </w:abstractNum>
  <w:abstractNum w:abstractNumId="100">
    <w:nsid w:val="5F3534A4"/>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2020-07-24T23:05:25Z</dcterms:created>
  <dcterms:modified xsi:type="dcterms:W3CDTF">2020-07-24T23:05:25Z</dcterms:modified>
</cp:coreProperties>
</file>