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334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3348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Bajaj Vikram</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08/11/2020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FS Development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FSDC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C/O FS DEVELOPMENT CORP</w:t>
      </w:r>
    </w:p>
    <w:p>
      <w:pPr>
        <w:spacing w:after="0" w:line="93" w:lineRule="exact"/>
        <w:rPr>
          <w:sz w:val="24"/>
          <w:szCs w:val="24"/>
          <w:color w:val="auto"/>
        </w:rPr>
      </w:pPr>
    </w:p>
    <w:p>
      <w:pPr>
        <w:ind w:left="140" w:right="1597"/>
        <w:spacing w:after="0" w:line="269" w:lineRule="auto"/>
        <w:rPr>
          <w:sz w:val="20"/>
          <w:szCs w:val="20"/>
          <w:color w:val="auto"/>
        </w:rPr>
      </w:pPr>
      <w:r>
        <w:rPr>
          <w:rFonts w:ascii="Arial" w:cs="Arial" w:eastAsia="Arial" w:hAnsi="Arial"/>
          <w:sz w:val="20"/>
          <w:szCs w:val="20"/>
          <w:color w:val="0000FF"/>
        </w:rPr>
        <w:t>600 MONTGOMERY STREET, SUITE 4500</w:t>
      </w:r>
    </w:p>
    <w:p>
      <w:pPr>
        <w:spacing w:after="0" w:line="28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4"/>
          <w:szCs w:val="24"/>
          <w:color w:val="auto"/>
        </w:rPr>
      </w:pPr>
    </w:p>
    <w:p>
      <w:pPr>
        <w:ind w:left="140" w:right="1577"/>
        <w:spacing w:after="0" w:line="186" w:lineRule="auto"/>
        <w:rPr>
          <w:sz w:val="20"/>
          <w:szCs w:val="20"/>
          <w:color w:val="auto"/>
        </w:rPr>
      </w:pPr>
      <w:r>
        <w:rPr>
          <w:rFonts w:ascii="Arial" w:cs="Arial" w:eastAsia="Arial" w:hAnsi="Arial"/>
          <w:sz w:val="38"/>
          <w:szCs w:val="38"/>
          <w:color w:val="0000FF"/>
          <w:vertAlign w:val="superscript"/>
        </w:rPr>
        <w:t>SAN</w:t>
      </w:r>
      <w:r>
        <w:rPr>
          <w:rFonts w:ascii="Arial" w:cs="Arial" w:eastAsia="Arial" w:hAnsi="Arial"/>
          <w:sz w:val="19"/>
          <w:szCs w:val="19"/>
          <w:color w:val="0000FF"/>
        </w:rPr>
        <w:t xml:space="preserve"> CA 94111 FRANCISCO</w:t>
      </w:r>
    </w:p>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4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4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Dennis Ryan as</w:t>
            </w:r>
          </w:p>
        </w:tc>
        <w:tc>
          <w:tcPr>
            <w:tcW w:w="880" w:type="dxa"/>
            <w:vAlign w:val="bottom"/>
            <w:vMerge w:val="restart"/>
          </w:tcPr>
          <w:p>
            <w:pPr>
              <w:spacing w:after="0"/>
              <w:rPr>
                <w:sz w:val="20"/>
                <w:szCs w:val="20"/>
                <w:color w:val="auto"/>
              </w:rPr>
            </w:pPr>
            <w:r>
              <w:rPr>
                <w:rFonts w:ascii="Arial" w:cs="Arial" w:eastAsia="Arial" w:hAnsi="Arial"/>
                <w:sz w:val="20"/>
                <w:szCs w:val="20"/>
                <w:color w:val="0000FF"/>
                <w:w w:val="85"/>
              </w:rPr>
              <w:t>08/11/2020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4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w w:val="99"/>
              </w:rPr>
              <w:t>Attorney-in-Fact</w:t>
            </w:r>
          </w:p>
        </w:tc>
        <w:tc>
          <w:tcPr>
            <w:tcW w:w="740" w:type="dxa"/>
            <w:vAlign w:val="bottom"/>
            <w:vMerge w:val="restart"/>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4"/>
          <w:szCs w:val="24"/>
          <w:b w:val="1"/>
          <w:bCs w:val="1"/>
          <w:color w:val="auto"/>
        </w:rPr>
        <w:t>Exhibit 24</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LIMITED POWER OF ATTORNEY</w:t>
      </w:r>
    </w:p>
    <w:p>
      <w:pPr>
        <w:spacing w:after="0" w:line="254" w:lineRule="exact"/>
        <w:rPr>
          <w:sz w:val="20"/>
          <w:szCs w:val="20"/>
          <w:color w:val="auto"/>
        </w:rPr>
      </w:pPr>
    </w:p>
    <w:p>
      <w:pPr>
        <w:ind w:right="60" w:firstLine="720"/>
        <w:spacing w:after="0" w:line="277" w:lineRule="auto"/>
        <w:rPr>
          <w:sz w:val="20"/>
          <w:szCs w:val="20"/>
          <w:color w:val="auto"/>
        </w:rPr>
      </w:pPr>
      <w:r>
        <w:rPr>
          <w:rFonts w:ascii="Arial" w:cs="Arial" w:eastAsia="Arial" w:hAnsi="Arial"/>
          <w:sz w:val="20"/>
          <w:szCs w:val="20"/>
          <w:color w:val="auto"/>
        </w:rPr>
        <w:t>The undersigned hereby constitutes and appoints each of Jim Tananbaum and Dennis Ryan, signing singly, and with full power of substitution, the undersigned’s true and lawful attorney-in-fact to:</w:t>
      </w:r>
    </w:p>
    <w:p>
      <w:pPr>
        <w:spacing w:after="0" w:line="189" w:lineRule="exact"/>
        <w:rPr>
          <w:sz w:val="20"/>
          <w:szCs w:val="20"/>
          <w:color w:val="auto"/>
        </w:rPr>
      </w:pPr>
    </w:p>
    <w:p>
      <w:pPr>
        <w:ind w:right="60" w:firstLine="720"/>
        <w:spacing w:after="0" w:line="270" w:lineRule="auto"/>
        <w:tabs>
          <w:tab w:leader="none" w:pos="1054" w:val="left"/>
        </w:tabs>
        <w:numPr>
          <w:ilvl w:val="0"/>
          <w:numId w:val="5"/>
        </w:numPr>
        <w:rPr>
          <w:rFonts w:ascii="Arial" w:cs="Arial" w:eastAsia="Arial" w:hAnsi="Arial"/>
          <w:sz w:val="19"/>
          <w:szCs w:val="19"/>
          <w:color w:val="auto"/>
        </w:rPr>
      </w:pPr>
      <w:r>
        <w:rPr>
          <w:rFonts w:ascii="Arial" w:cs="Arial" w:eastAsia="Arial" w:hAnsi="Arial"/>
          <w:sz w:val="19"/>
          <w:szCs w:val="19"/>
          <w:color w:val="auto"/>
        </w:rPr>
        <w:t>execute for and on behalf of the undersigned, in the undersigned’s capacity as officer and/or director of FS Development Corp. (the “Company”), from time to time the following U.S. Securities and Exchange Commission (“SEC”) forms: (i) Form 3, Initial Statement of Beneficial Ownership of Securities, including any attached documents; (ii) Form 4, Statement of Changes in Beneficial Ownership of Securities, including any attached documents; (iii) Form 5, Annual Statement of Beneficial Ownership of Securities in accordance with Section 16(a) of the Securities Exchange Act of 1934, as amended, and the rules thereunder, including any attached documents; (iv) Schedules 13D and 13G; and (v) amendments of each thereof, in accordance with the Securities Exchange Act of 1934, as amended, and the rules thereunder, including any attached documents;</w:t>
      </w:r>
    </w:p>
    <w:p>
      <w:pPr>
        <w:spacing w:after="0" w:line="200" w:lineRule="exact"/>
        <w:rPr>
          <w:rFonts w:ascii="Arial" w:cs="Arial" w:eastAsia="Arial" w:hAnsi="Arial"/>
          <w:sz w:val="19"/>
          <w:szCs w:val="19"/>
          <w:color w:val="auto"/>
        </w:rPr>
      </w:pPr>
    </w:p>
    <w:p>
      <w:pPr>
        <w:jc w:val="both"/>
        <w:ind w:right="60" w:firstLine="720"/>
        <w:spacing w:after="0" w:line="264" w:lineRule="auto"/>
        <w:tabs>
          <w:tab w:leader="none" w:pos="1054" w:val="left"/>
        </w:tabs>
        <w:numPr>
          <w:ilvl w:val="0"/>
          <w:numId w:val="5"/>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 3, 4 or 5, Schedule 13D or 13G, or any amendment(s) thereto and timely file such form(s) with the SEC and any securities exchange, national association or similar authority; and</w:t>
      </w:r>
    </w:p>
    <w:p>
      <w:pPr>
        <w:spacing w:after="0" w:line="201" w:lineRule="exact"/>
        <w:rPr>
          <w:rFonts w:ascii="Arial" w:cs="Arial" w:eastAsia="Arial" w:hAnsi="Arial"/>
          <w:sz w:val="20"/>
          <w:szCs w:val="20"/>
          <w:color w:val="auto"/>
        </w:rPr>
      </w:pPr>
    </w:p>
    <w:p>
      <w:pPr>
        <w:ind w:firstLine="720"/>
        <w:spacing w:after="0" w:line="277" w:lineRule="auto"/>
        <w:tabs>
          <w:tab w:leader="none" w:pos="1054" w:val="left"/>
        </w:tabs>
        <w:numPr>
          <w:ilvl w:val="0"/>
          <w:numId w:val="5"/>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2" w:lineRule="exact"/>
        <w:rPr>
          <w:sz w:val="20"/>
          <w:szCs w:val="20"/>
          <w:color w:val="auto"/>
        </w:rPr>
      </w:pPr>
    </w:p>
    <w:p>
      <w:pPr>
        <w:ind w:right="80" w:firstLine="720"/>
        <w:spacing w:after="0" w:line="253" w:lineRule="auto"/>
        <w:rPr>
          <w:sz w:val="20"/>
          <w:szCs w:val="20"/>
          <w:color w:val="auto"/>
        </w:rPr>
      </w:pPr>
      <w:r>
        <w:rPr>
          <w:rFonts w:ascii="Arial" w:cs="Arial" w:eastAsia="Arial" w:hAnsi="Arial"/>
          <w:sz w:val="20"/>
          <w:szCs w:val="20"/>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attorneys-in-fact and the Company from and against any demand, damage, loss, cost or expense arising from any false or misleading information provided by the undersigned to the attorneys-in-fact.</w:t>
      </w:r>
    </w:p>
    <w:p>
      <w:pPr>
        <w:spacing w:after="0" w:line="217" w:lineRule="exact"/>
        <w:rPr>
          <w:sz w:val="20"/>
          <w:szCs w:val="20"/>
          <w:color w:val="auto"/>
        </w:rPr>
      </w:pPr>
    </w:p>
    <w:p>
      <w:pPr>
        <w:ind w:right="60" w:firstLine="720"/>
        <w:spacing w:after="0" w:line="274" w:lineRule="auto"/>
        <w:rPr>
          <w:sz w:val="20"/>
          <w:szCs w:val="20"/>
          <w:color w:val="auto"/>
        </w:rPr>
      </w:pPr>
      <w:r>
        <w:rPr>
          <w:rFonts w:ascii="Arial" w:cs="Arial" w:eastAsia="Arial" w:hAnsi="Arial"/>
          <w:sz w:val="19"/>
          <w:szCs w:val="19"/>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employee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285750</wp:posOffset>
            </wp:positionV>
            <wp:extent cx="694690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110" w:right="47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IN WITNESS WHEREOF, the undersigned has caused this Power of Attorney to be executed as of August 11, 2020.</w:t>
      </w:r>
    </w:p>
    <w:p>
      <w:pPr>
        <w:spacing w:after="0" w:line="273" w:lineRule="exact"/>
        <w:rPr>
          <w:sz w:val="20"/>
          <w:szCs w:val="20"/>
          <w:color w:val="auto"/>
        </w:rPr>
      </w:pPr>
    </w:p>
    <w:p>
      <w:pPr>
        <w:ind w:left="5860"/>
        <w:spacing w:after="0"/>
        <w:rPr>
          <w:sz w:val="20"/>
          <w:szCs w:val="20"/>
          <w:color w:val="auto"/>
        </w:rPr>
      </w:pPr>
      <w:r>
        <w:rPr>
          <w:rFonts w:ascii="Arial" w:cs="Arial" w:eastAsia="Arial" w:hAnsi="Arial"/>
          <w:sz w:val="20"/>
          <w:szCs w:val="20"/>
          <w:color w:val="auto"/>
        </w:rPr>
        <w:t>/s/ Vikram Bajaj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16510</wp:posOffset>
            </wp:positionV>
            <wp:extent cx="277304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73045" cy="19050"/>
                    </a:xfrm>
                    <a:prstGeom prst="rect">
                      <a:avLst/>
                    </a:prstGeom>
                    <a:noFill/>
                  </pic:spPr>
                </pic:pic>
              </a:graphicData>
            </a:graphic>
          </wp:anchor>
        </w:drawing>
      </w:r>
    </w:p>
    <w:p>
      <w:pPr>
        <w:spacing w:after="0" w:line="20" w:lineRule="exact"/>
        <w:rPr>
          <w:sz w:val="20"/>
          <w:szCs w:val="20"/>
          <w:color w:val="auto"/>
        </w:rPr>
      </w:pPr>
    </w:p>
    <w:p>
      <w:pPr>
        <w:ind w:left="5860"/>
        <w:spacing w:after="0"/>
        <w:rPr>
          <w:sz w:val="20"/>
          <w:szCs w:val="20"/>
          <w:color w:val="auto"/>
        </w:rPr>
      </w:pPr>
      <w:r>
        <w:rPr>
          <w:rFonts w:ascii="Arial" w:cs="Arial" w:eastAsia="Arial" w:hAnsi="Arial"/>
          <w:sz w:val="20"/>
          <w:szCs w:val="20"/>
          <w:color w:val="auto"/>
        </w:rPr>
        <w:t>Signature</w:t>
      </w:r>
    </w:p>
    <w:p>
      <w:pPr>
        <w:spacing w:after="0" w:line="250" w:lineRule="exact"/>
        <w:rPr>
          <w:sz w:val="20"/>
          <w:szCs w:val="20"/>
          <w:color w:val="auto"/>
        </w:rPr>
      </w:pPr>
    </w:p>
    <w:p>
      <w:pPr>
        <w:ind w:left="5860"/>
        <w:spacing w:after="0"/>
        <w:rPr>
          <w:sz w:val="20"/>
          <w:szCs w:val="20"/>
          <w:color w:val="auto"/>
        </w:rPr>
      </w:pPr>
      <w:r>
        <w:rPr>
          <w:rFonts w:ascii="Arial" w:cs="Arial" w:eastAsia="Arial" w:hAnsi="Arial"/>
          <w:sz w:val="20"/>
          <w:szCs w:val="20"/>
          <w:color w:val="auto"/>
        </w:rPr>
        <w:t>Vikram Bajaj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16510</wp:posOffset>
            </wp:positionV>
            <wp:extent cx="277304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773045" cy="19050"/>
                    </a:xfrm>
                    <a:prstGeom prst="rect">
                      <a:avLst/>
                    </a:prstGeom>
                    <a:noFill/>
                  </pic:spPr>
                </pic:pic>
              </a:graphicData>
            </a:graphic>
          </wp:anchor>
        </w:drawing>
      </w:r>
    </w:p>
    <w:p>
      <w:pPr>
        <w:spacing w:after="0" w:line="20" w:lineRule="exact"/>
        <w:rPr>
          <w:sz w:val="20"/>
          <w:szCs w:val="20"/>
          <w:color w:val="auto"/>
        </w:rPr>
      </w:pPr>
    </w:p>
    <w:p>
      <w:pPr>
        <w:ind w:left="5860"/>
        <w:spacing w:after="0"/>
        <w:rPr>
          <w:sz w:val="20"/>
          <w:szCs w:val="20"/>
          <w:color w:val="auto"/>
        </w:rPr>
      </w:pPr>
      <w:r>
        <w:rPr>
          <w:rFonts w:ascii="Arial" w:cs="Arial" w:eastAsia="Arial" w:hAnsi="Arial"/>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474345</wp:posOffset>
            </wp:positionV>
            <wp:extent cx="6946900"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9340"/>
      </w:cols>
      <w:pgMar w:left="1200" w:top="994" w:right="1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0" Type="http://schemas.openxmlformats.org/officeDocument/2006/relationships/hyperlink" Target="http://www.sec.gov/cgi-bin/browse-edgar?action=getcompany&amp;CIK=0001820733" TargetMode="External"/><Relationship Id="rId11"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2020-08-11T20:41:19Z</dcterms:created>
  <dcterms:modified xsi:type="dcterms:W3CDTF">2020-08-11T20:41:19Z</dcterms:modified>
</cp:coreProperties>
</file>