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9"/>
              </w:rPr>
              <w:t>CURRENT REPORT</w:t>
            </w:r>
          </w:p>
        </w:tc>
        <w:tc>
          <w:tcPr>
            <w:tcW w:w="3320" w:type="dxa"/>
            <w:vAlign w:val="bottom"/>
          </w:tcPr>
          <w:p>
            <w:pPr>
              <w:spacing w:after="0"/>
              <w:rPr>
                <w:sz w:val="18"/>
                <w:szCs w:val="18"/>
                <w:color w:val="auto"/>
              </w:rPr>
            </w:pPr>
          </w:p>
        </w:tc>
      </w:tr>
      <w:tr>
        <w:trPr>
          <w:trHeight w:val="366"/>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7"/>
              </w:rPr>
              <w:t>PURSUANT TO SECTION 13 OR 15(D) OF THE</w:t>
            </w:r>
          </w:p>
        </w:tc>
        <w:tc>
          <w:tcPr>
            <w:tcW w:w="3320" w:type="dxa"/>
            <w:vAlign w:val="bottom"/>
          </w:tcPr>
          <w:p>
            <w:pPr>
              <w:spacing w:after="0"/>
              <w:rPr>
                <w:sz w:val="24"/>
                <w:szCs w:val="24"/>
                <w:color w:val="auto"/>
              </w:rPr>
            </w:pPr>
          </w:p>
        </w:tc>
      </w:tr>
      <w:tr>
        <w:trPr>
          <w:trHeight w:val="208"/>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8"/>
              </w:rPr>
              <w:t>SECURITIES EXCHANGE ACT OF 1934</w:t>
            </w:r>
          </w:p>
        </w:tc>
        <w:tc>
          <w:tcPr>
            <w:tcW w:w="3320" w:type="dxa"/>
            <w:vAlign w:val="bottom"/>
          </w:tcPr>
          <w:p>
            <w:pPr>
              <w:spacing w:after="0"/>
              <w:rPr>
                <w:sz w:val="18"/>
                <w:szCs w:val="18"/>
                <w:color w:val="auto"/>
              </w:rPr>
            </w:pPr>
          </w:p>
        </w:tc>
      </w:tr>
      <w:tr>
        <w:trPr>
          <w:trHeight w:val="382"/>
        </w:trPr>
        <w:tc>
          <w:tcPr>
            <w:tcW w:w="3080" w:type="dxa"/>
            <w:vAlign w:val="bottom"/>
          </w:tcPr>
          <w:p>
            <w:pPr>
              <w:spacing w:after="0"/>
              <w:rPr>
                <w:sz w:val="24"/>
                <w:szCs w:val="24"/>
                <w:color w:val="auto"/>
              </w:rPr>
            </w:pPr>
          </w:p>
        </w:tc>
        <w:tc>
          <w:tcPr>
            <w:tcW w:w="4860" w:type="dxa"/>
            <w:vAlign w:val="bottom"/>
            <w:gridSpan w:val="7"/>
          </w:tcPr>
          <w:p>
            <w:pPr>
              <w:jc w:val="center"/>
              <w:ind w:left="160"/>
              <w:spacing w:after="0"/>
              <w:rPr>
                <w:sz w:val="20"/>
                <w:szCs w:val="20"/>
                <w:color w:val="auto"/>
              </w:rPr>
            </w:pPr>
            <w:r>
              <w:rPr>
                <w:rFonts w:ascii="Arial" w:cs="Arial" w:eastAsia="Arial" w:hAnsi="Arial"/>
                <w:sz w:val="16"/>
                <w:szCs w:val="16"/>
                <w:color w:val="auto"/>
                <w:w w:val="90"/>
              </w:rPr>
              <w:t>Date of Report (Date of earliest event reported): October 15, 2020</w:t>
            </w:r>
          </w:p>
        </w:tc>
        <w:tc>
          <w:tcPr>
            <w:tcW w:w="3320" w:type="dxa"/>
            <w:vAlign w:val="bottom"/>
          </w:tcPr>
          <w:p>
            <w:pPr>
              <w:spacing w:after="0"/>
              <w:rPr>
                <w:sz w:val="24"/>
                <w:szCs w:val="24"/>
                <w:color w:val="auto"/>
              </w:rPr>
            </w:pPr>
          </w:p>
        </w:tc>
      </w:tr>
      <w:tr>
        <w:trPr>
          <w:trHeight w:val="370"/>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9"/>
              </w:rPr>
              <w:t>FS DEVELOPMENT CORP.</w:t>
            </w:r>
          </w:p>
        </w:tc>
        <w:tc>
          <w:tcPr>
            <w:tcW w:w="3320" w:type="dxa"/>
            <w:vAlign w:val="bottom"/>
          </w:tcPr>
          <w:p>
            <w:pPr>
              <w:spacing w:after="0"/>
              <w:rPr>
                <w:sz w:val="24"/>
                <w:szCs w:val="24"/>
                <w:color w:val="auto"/>
              </w:rPr>
            </w:pPr>
          </w:p>
        </w:tc>
      </w:tr>
      <w:tr>
        <w:trPr>
          <w:trHeight w:val="204"/>
        </w:trPr>
        <w:tc>
          <w:tcPr>
            <w:tcW w:w="3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gridSpan w:val="5"/>
          </w:tcPr>
          <w:p>
            <w:pPr>
              <w:jc w:val="center"/>
              <w:ind w:right="540"/>
              <w:spacing w:after="0"/>
              <w:rPr>
                <w:sz w:val="20"/>
                <w:szCs w:val="20"/>
                <w:color w:val="auto"/>
              </w:rPr>
            </w:pPr>
            <w:r>
              <w:rPr>
                <w:rFonts w:ascii="Arial" w:cs="Arial" w:eastAsia="Arial" w:hAnsi="Arial"/>
                <w:sz w:val="16"/>
                <w:szCs w:val="16"/>
                <w:color w:val="auto"/>
                <w:w w:val="89"/>
              </w:rPr>
              <w:t>(Exact name of registrant as specified in its charter)</w:t>
            </w:r>
          </w:p>
        </w:tc>
        <w:tc>
          <w:tcPr>
            <w:tcW w:w="3320" w:type="dxa"/>
            <w:vAlign w:val="bottom"/>
          </w:tcPr>
          <w:p>
            <w:pPr>
              <w:spacing w:after="0"/>
              <w:rPr>
                <w:sz w:val="17"/>
                <w:szCs w:val="17"/>
                <w:color w:val="auto"/>
              </w:rPr>
            </w:pPr>
          </w:p>
        </w:tc>
      </w:tr>
      <w:tr>
        <w:trPr>
          <w:trHeight w:val="398"/>
        </w:trPr>
        <w:tc>
          <w:tcPr>
            <w:tcW w:w="3080" w:type="dxa"/>
            <w:vAlign w:val="bottom"/>
          </w:tcPr>
          <w:p>
            <w:pPr>
              <w:jc w:val="center"/>
              <w:ind w:left="440"/>
              <w:spacing w:after="0"/>
              <w:rPr>
                <w:sz w:val="20"/>
                <w:szCs w:val="20"/>
                <w:color w:val="auto"/>
              </w:rPr>
            </w:pPr>
            <w:r>
              <w:rPr>
                <w:rFonts w:ascii="Arial" w:cs="Arial" w:eastAsia="Arial" w:hAnsi="Arial"/>
                <w:sz w:val="16"/>
                <w:szCs w:val="16"/>
                <w:b w:val="1"/>
                <w:bCs w:val="1"/>
                <w:color w:val="auto"/>
                <w:w w:val="91"/>
              </w:rPr>
              <w:t>Delaware</w:t>
            </w:r>
          </w:p>
        </w:tc>
        <w:tc>
          <w:tcPr>
            <w:tcW w:w="4360" w:type="dxa"/>
            <w:vAlign w:val="bottom"/>
            <w:gridSpan w:val="5"/>
          </w:tcPr>
          <w:p>
            <w:pPr>
              <w:jc w:val="center"/>
              <w:ind w:left="680"/>
              <w:spacing w:after="0"/>
              <w:rPr>
                <w:sz w:val="20"/>
                <w:szCs w:val="20"/>
                <w:color w:val="auto"/>
              </w:rPr>
            </w:pPr>
            <w:r>
              <w:rPr>
                <w:rFonts w:ascii="Arial" w:cs="Arial" w:eastAsia="Arial" w:hAnsi="Arial"/>
                <w:sz w:val="16"/>
                <w:szCs w:val="16"/>
                <w:b w:val="1"/>
                <w:bCs w:val="1"/>
                <w:color w:val="auto"/>
                <w:w w:val="88"/>
              </w:rPr>
              <w:t>001-39438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220"/>
              <w:spacing w:after="0"/>
              <w:rPr>
                <w:sz w:val="20"/>
                <w:szCs w:val="20"/>
                <w:color w:val="auto"/>
              </w:rPr>
            </w:pPr>
            <w:r>
              <w:rPr>
                <w:rFonts w:ascii="Arial" w:cs="Arial" w:eastAsia="Arial" w:hAnsi="Arial"/>
                <w:sz w:val="16"/>
                <w:szCs w:val="16"/>
                <w:b w:val="1"/>
                <w:bCs w:val="1"/>
                <w:color w:val="auto"/>
                <w:w w:val="91"/>
              </w:rPr>
              <w:t>85-1612845</w:t>
            </w:r>
          </w:p>
        </w:tc>
      </w:tr>
      <w:tr>
        <w:trPr>
          <w:trHeight w:val="179"/>
        </w:trPr>
        <w:tc>
          <w:tcPr>
            <w:tcW w:w="3080" w:type="dxa"/>
            <w:vAlign w:val="bottom"/>
            <w:tcBorders>
              <w:top w:val="single" w:sz="8" w:color="auto"/>
            </w:tcBorders>
          </w:tcPr>
          <w:p>
            <w:pPr>
              <w:jc w:val="center"/>
              <w:ind w:left="440"/>
              <w:spacing w:after="0" w:line="179" w:lineRule="exact"/>
              <w:rPr>
                <w:sz w:val="20"/>
                <w:szCs w:val="20"/>
                <w:color w:val="auto"/>
              </w:rPr>
            </w:pPr>
            <w:r>
              <w:rPr>
                <w:rFonts w:ascii="Arial" w:cs="Arial" w:eastAsia="Arial" w:hAnsi="Arial"/>
                <w:sz w:val="16"/>
                <w:szCs w:val="16"/>
                <w:color w:val="auto"/>
                <w:w w:val="92"/>
              </w:rPr>
              <w:t>(State or other jurisdiction</w:t>
            </w: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9" w:lineRule="exact"/>
              <w:rPr>
                <w:sz w:val="20"/>
                <w:szCs w:val="20"/>
                <w:color w:val="auto"/>
              </w:rPr>
            </w:pPr>
            <w:r>
              <w:rPr>
                <w:rFonts w:ascii="Arial" w:cs="Arial" w:eastAsia="Arial" w:hAnsi="Arial"/>
                <w:sz w:val="16"/>
                <w:szCs w:val="16"/>
                <w:color w:val="auto"/>
                <w:w w:val="92"/>
              </w:rPr>
              <w:t>(Commission File Number)</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240"/>
              <w:spacing w:after="0" w:line="179" w:lineRule="exact"/>
              <w:rPr>
                <w:sz w:val="20"/>
                <w:szCs w:val="20"/>
                <w:color w:val="auto"/>
              </w:rPr>
            </w:pPr>
            <w:r>
              <w:rPr>
                <w:rFonts w:ascii="Arial" w:cs="Arial" w:eastAsia="Arial" w:hAnsi="Arial"/>
                <w:sz w:val="16"/>
                <w:szCs w:val="16"/>
                <w:color w:val="auto"/>
                <w:w w:val="91"/>
              </w:rPr>
              <w:t>(I.R.S. Employer</w:t>
            </w:r>
          </w:p>
        </w:tc>
      </w:tr>
      <w:tr>
        <w:trPr>
          <w:trHeight w:val="204"/>
        </w:trPr>
        <w:tc>
          <w:tcPr>
            <w:tcW w:w="3080" w:type="dxa"/>
            <w:vAlign w:val="bottom"/>
          </w:tcPr>
          <w:p>
            <w:pPr>
              <w:jc w:val="center"/>
              <w:ind w:left="440"/>
              <w:spacing w:after="0"/>
              <w:rPr>
                <w:sz w:val="20"/>
                <w:szCs w:val="20"/>
                <w:color w:val="auto"/>
              </w:rPr>
            </w:pPr>
            <w:r>
              <w:rPr>
                <w:rFonts w:ascii="Arial" w:cs="Arial" w:eastAsia="Arial" w:hAnsi="Arial"/>
                <w:sz w:val="16"/>
                <w:szCs w:val="16"/>
                <w:color w:val="auto"/>
                <w:w w:val="93"/>
              </w:rPr>
              <w:t>of incorporation)</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tcPr>
          <w:p>
            <w:pPr>
              <w:jc w:val="center"/>
              <w:ind w:right="220"/>
              <w:spacing w:after="0"/>
              <w:rPr>
                <w:sz w:val="20"/>
                <w:szCs w:val="20"/>
                <w:color w:val="auto"/>
              </w:rPr>
            </w:pPr>
            <w:r>
              <w:rPr>
                <w:rFonts w:ascii="Arial" w:cs="Arial" w:eastAsia="Arial" w:hAnsi="Arial"/>
                <w:sz w:val="16"/>
                <w:szCs w:val="16"/>
                <w:color w:val="auto"/>
                <w:w w:val="94"/>
              </w:rPr>
              <w:t>Identification No.)</w:t>
            </w:r>
          </w:p>
        </w:tc>
      </w:tr>
      <w:tr>
        <w:trPr>
          <w:trHeight w:val="366"/>
        </w:trPr>
        <w:tc>
          <w:tcPr>
            <w:tcW w:w="7940" w:type="dxa"/>
            <w:vAlign w:val="bottom"/>
            <w:gridSpan w:val="8"/>
          </w:tcPr>
          <w:p>
            <w:pPr>
              <w:jc w:val="center"/>
              <w:ind w:right="2380"/>
              <w:spacing w:after="0"/>
              <w:rPr>
                <w:sz w:val="20"/>
                <w:szCs w:val="20"/>
                <w:color w:val="auto"/>
              </w:rPr>
            </w:pPr>
            <w:r>
              <w:rPr>
                <w:rFonts w:ascii="Arial" w:cs="Arial" w:eastAsia="Arial" w:hAnsi="Arial"/>
                <w:sz w:val="16"/>
                <w:szCs w:val="16"/>
                <w:b w:val="1"/>
                <w:bCs w:val="1"/>
                <w:color w:val="auto"/>
                <w:w w:val="90"/>
              </w:rPr>
              <w:t>600 Montgomery Street, Suite 4500</w:t>
            </w:r>
          </w:p>
        </w:tc>
        <w:tc>
          <w:tcPr>
            <w:tcW w:w="3320" w:type="dxa"/>
            <w:vAlign w:val="bottom"/>
          </w:tcPr>
          <w:p>
            <w:pPr>
              <w:spacing w:after="0"/>
              <w:rPr>
                <w:sz w:val="24"/>
                <w:szCs w:val="24"/>
                <w:color w:val="auto"/>
              </w:rPr>
            </w:pPr>
          </w:p>
        </w:tc>
      </w:tr>
      <w:tr>
        <w:trPr>
          <w:trHeight w:val="224"/>
        </w:trPr>
        <w:tc>
          <w:tcPr>
            <w:tcW w:w="7940" w:type="dxa"/>
            <w:vAlign w:val="bottom"/>
            <w:gridSpan w:val="8"/>
          </w:tcPr>
          <w:p>
            <w:pPr>
              <w:jc w:val="center"/>
              <w:ind w:right="2440"/>
              <w:spacing w:after="0"/>
              <w:rPr>
                <w:sz w:val="20"/>
                <w:szCs w:val="20"/>
                <w:color w:val="auto"/>
              </w:rPr>
            </w:pPr>
            <w:r>
              <w:rPr>
                <w:rFonts w:ascii="Arial" w:cs="Arial" w:eastAsia="Arial" w:hAnsi="Arial"/>
                <w:sz w:val="16"/>
                <w:szCs w:val="16"/>
                <w:b w:val="1"/>
                <w:bCs w:val="1"/>
                <w:color w:val="auto"/>
                <w:w w:val="90"/>
              </w:rPr>
              <w:t>San Francisco, California</w:t>
            </w:r>
          </w:p>
        </w:tc>
        <w:tc>
          <w:tcPr>
            <w:tcW w:w="3320" w:type="dxa"/>
            <w:vAlign w:val="bottom"/>
          </w:tcPr>
          <w:p>
            <w:pPr>
              <w:jc w:val="right"/>
              <w:ind w:right="2500"/>
              <w:spacing w:after="0"/>
              <w:rPr>
                <w:sz w:val="20"/>
                <w:szCs w:val="20"/>
                <w:color w:val="auto"/>
              </w:rPr>
            </w:pPr>
            <w:r>
              <w:rPr>
                <w:rFonts w:ascii="Arial" w:cs="Arial" w:eastAsia="Arial" w:hAnsi="Arial"/>
                <w:sz w:val="16"/>
                <w:szCs w:val="16"/>
                <w:b w:val="1"/>
                <w:bCs w:val="1"/>
                <w:color w:val="auto"/>
              </w:rPr>
              <w:t>94111</w:t>
            </w:r>
          </w:p>
        </w:tc>
      </w:tr>
      <w:tr>
        <w:trPr>
          <w:trHeight w:val="204"/>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220" w:type="dxa"/>
            <w:vAlign w:val="bottom"/>
          </w:tcPr>
          <w:p>
            <w:pPr>
              <w:spacing w:after="0"/>
              <w:rPr>
                <w:sz w:val="17"/>
                <w:szCs w:val="17"/>
                <w:color w:val="auto"/>
              </w:rPr>
            </w:pPr>
          </w:p>
        </w:tc>
        <w:tc>
          <w:tcPr>
            <w:tcW w:w="2200" w:type="dxa"/>
            <w:vAlign w:val="bottom"/>
            <w:tcBorders>
              <w:top w:val="single" w:sz="8" w:color="auto"/>
            </w:tcBorders>
            <w:gridSpan w:val="3"/>
          </w:tcPr>
          <w:p>
            <w:pPr>
              <w:spacing w:after="0"/>
              <w:rPr>
                <w:sz w:val="17"/>
                <w:szCs w:val="17"/>
                <w:color w:val="auto"/>
              </w:rPr>
            </w:pPr>
          </w:p>
        </w:tc>
        <w:tc>
          <w:tcPr>
            <w:tcW w:w="3320" w:type="dxa"/>
            <w:vAlign w:val="bottom"/>
            <w:tcBorders>
              <w:top w:val="single" w:sz="8" w:color="auto"/>
            </w:tcBorders>
          </w:tcPr>
          <w:p>
            <w:pPr>
              <w:jc w:val="center"/>
              <w:ind w:right="2140"/>
              <w:spacing w:after="0"/>
              <w:rPr>
                <w:sz w:val="20"/>
                <w:szCs w:val="20"/>
                <w:color w:val="auto"/>
              </w:rPr>
            </w:pPr>
            <w:r>
              <w:rPr>
                <w:rFonts w:ascii="Arial" w:cs="Arial" w:eastAsia="Arial" w:hAnsi="Arial"/>
                <w:sz w:val="16"/>
                <w:szCs w:val="16"/>
                <w:color w:val="auto"/>
                <w:w w:val="92"/>
              </w:rPr>
              <w:t>(Zip Code)</w:t>
            </w:r>
          </w:p>
        </w:tc>
      </w:tr>
      <w:tr>
        <w:trPr>
          <w:trHeight w:val="357"/>
        </w:trPr>
        <w:tc>
          <w:tcPr>
            <w:tcW w:w="3080" w:type="dxa"/>
            <w:vAlign w:val="bottom"/>
          </w:tcPr>
          <w:p>
            <w:pPr>
              <w:spacing w:after="0"/>
              <w:rPr>
                <w:sz w:val="24"/>
                <w:szCs w:val="24"/>
                <w:color w:val="auto"/>
              </w:rPr>
            </w:pPr>
          </w:p>
        </w:tc>
        <w:tc>
          <w:tcPr>
            <w:tcW w:w="4360" w:type="dxa"/>
            <w:vAlign w:val="bottom"/>
            <w:gridSpan w:val="5"/>
          </w:tcPr>
          <w:p>
            <w:pPr>
              <w:jc w:val="center"/>
              <w:ind w:left="640"/>
              <w:spacing w:after="0"/>
              <w:rPr>
                <w:sz w:val="20"/>
                <w:szCs w:val="20"/>
                <w:color w:val="auto"/>
              </w:rPr>
            </w:pPr>
            <w:r>
              <w:rPr>
                <w:rFonts w:ascii="Arial" w:cs="Arial" w:eastAsia="Arial" w:hAnsi="Arial"/>
                <w:sz w:val="16"/>
                <w:szCs w:val="16"/>
                <w:b w:val="1"/>
                <w:bCs w:val="1"/>
                <w:color w:val="auto"/>
                <w:w w:val="91"/>
              </w:rPr>
              <w:t>(415) 877-4887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4"/>
        </w:trPr>
        <w:tc>
          <w:tcPr>
            <w:tcW w:w="3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gridSpan w:val="5"/>
          </w:tcPr>
          <w:p>
            <w:pPr>
              <w:jc w:val="center"/>
              <w:ind w:right="520"/>
              <w:spacing w:after="0"/>
              <w:rPr>
                <w:sz w:val="20"/>
                <w:szCs w:val="20"/>
                <w:color w:val="auto"/>
              </w:rPr>
            </w:pPr>
            <w:r>
              <w:rPr>
                <w:rFonts w:ascii="Arial" w:cs="Arial" w:eastAsia="Arial" w:hAnsi="Arial"/>
                <w:sz w:val="16"/>
                <w:szCs w:val="16"/>
                <w:color w:val="auto"/>
                <w:w w:val="89"/>
              </w:rPr>
              <w:t>(Registrant’s telephone number, including area code)</w:t>
            </w:r>
          </w:p>
        </w:tc>
        <w:tc>
          <w:tcPr>
            <w:tcW w:w="3320" w:type="dxa"/>
            <w:vAlign w:val="bottom"/>
          </w:tcPr>
          <w:p>
            <w:pPr>
              <w:spacing w:after="0"/>
              <w:rPr>
                <w:sz w:val="17"/>
                <w:szCs w:val="17"/>
                <w:color w:val="auto"/>
              </w:rPr>
            </w:pPr>
          </w:p>
        </w:tc>
      </w:tr>
    </w:tbl>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6" w:lineRule="exact"/>
        <w:rPr>
          <w:sz w:val="24"/>
          <w:szCs w:val="24"/>
          <w:color w:val="auto"/>
        </w:rPr>
      </w:pPr>
    </w:p>
    <w:p>
      <w:pPr>
        <w:ind w:left="564"/>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10" w:lineRule="exact"/>
        <w:rPr>
          <w:sz w:val="24"/>
          <w:szCs w:val="24"/>
          <w:color w:val="auto"/>
        </w:rPr>
      </w:pPr>
    </w:p>
    <w:p>
      <w:pPr>
        <w:ind w:left="564" w:hanging="278"/>
        <w:spacing w:after="0"/>
        <w:tabs>
          <w:tab w:leader="none" w:pos="56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198" w:lineRule="exact"/>
        <w:rPr>
          <w:sz w:val="24"/>
          <w:szCs w:val="24"/>
          <w:color w:val="auto"/>
        </w:rPr>
      </w:pPr>
    </w:p>
    <w:p>
      <w:pPr>
        <w:ind w:left="564" w:hanging="278"/>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564" w:hanging="278"/>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520" w:firstLine="282"/>
        <w:spacing w:after="0" w:line="496" w:lineRule="auto"/>
        <w:tabs>
          <w:tab w:leader="none" w:pos="578"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Pre-commencements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24"/>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FSDC</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The Nasdaq Capital Market</w:t>
            </w:r>
          </w:p>
        </w:tc>
      </w:tr>
    </w:tbl>
    <w:p>
      <w:pPr>
        <w:spacing w:after="0" w:line="179" w:lineRule="exact"/>
        <w:rPr>
          <w:sz w:val="24"/>
          <w:szCs w:val="24"/>
          <w:color w:val="auto"/>
        </w:rPr>
      </w:pPr>
    </w:p>
    <w:p>
      <w:pPr>
        <w:ind w:left="284" w:right="80" w:hanging="284"/>
        <w:spacing w:after="0" w:line="275" w:lineRule="auto"/>
        <w:tabs>
          <w:tab w:leader="none" w:pos="2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2" w:lineRule="exact"/>
        <w:rPr>
          <w:sz w:val="24"/>
          <w:szCs w:val="24"/>
          <w:color w:val="auto"/>
        </w:rPr>
      </w:pPr>
    </w:p>
    <w:p>
      <w:pPr>
        <w:ind w:left="284" w:right="500" w:hanging="284"/>
        <w:spacing w:after="0" w:line="275" w:lineRule="auto"/>
        <w:tabs>
          <w:tab w:leader="none" w:pos="28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819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521970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6"/>
          <w:szCs w:val="16"/>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 Agreement</w:t>
      </w:r>
    </w:p>
    <w:p>
      <w:pPr>
        <w:spacing w:after="0" w:line="198" w:lineRule="exact"/>
        <w:rPr>
          <w:sz w:val="20"/>
          <w:szCs w:val="20"/>
          <w:color w:val="auto"/>
        </w:rPr>
      </w:pPr>
    </w:p>
    <w:p>
      <w:pPr>
        <w:ind w:right="40" w:firstLine="574"/>
        <w:spacing w:after="0" w:line="273" w:lineRule="auto"/>
        <w:rPr>
          <w:sz w:val="20"/>
          <w:szCs w:val="20"/>
          <w:color w:val="auto"/>
        </w:rPr>
      </w:pPr>
      <w:r>
        <w:rPr>
          <w:rFonts w:ascii="Arial" w:cs="Arial" w:eastAsia="Arial" w:hAnsi="Arial"/>
          <w:sz w:val="15"/>
          <w:szCs w:val="15"/>
          <w:color w:val="auto"/>
        </w:rPr>
        <w:t>On October 15, 2020, FS Development Corp.,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entered into an agreement and plan of merger (the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by and among the Company, FSG Merger Sub Inc., a Delaware corporation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Gemini Therapeutics, Inc., a Delaware corporation (“</w:t>
      </w:r>
      <w:r>
        <w:rPr>
          <w:rFonts w:ascii="Arial" w:cs="Arial" w:eastAsia="Arial" w:hAnsi="Arial"/>
          <w:sz w:val="15"/>
          <w:szCs w:val="15"/>
          <w:b w:val="1"/>
          <w:bCs w:val="1"/>
          <w:i w:val="1"/>
          <w:iCs w:val="1"/>
          <w:color w:val="auto"/>
        </w:rPr>
        <w:t>Gemini</w:t>
      </w:r>
      <w:r>
        <w:rPr>
          <w:rFonts w:ascii="Arial" w:cs="Arial" w:eastAsia="Arial" w:hAnsi="Arial"/>
          <w:sz w:val="15"/>
          <w:szCs w:val="15"/>
          <w:color w:val="auto"/>
        </w:rPr>
        <w:t>”) and Shareholder Representative Services LLC, a Colorado limited liability company, in its capacity as the representative, agent and attorney-in-fact of the securityholders of Gemini (in such capacity, the “</w:t>
      </w:r>
      <w:r>
        <w:rPr>
          <w:rFonts w:ascii="Arial" w:cs="Arial" w:eastAsia="Arial" w:hAnsi="Arial"/>
          <w:sz w:val="15"/>
          <w:szCs w:val="15"/>
          <w:b w:val="1"/>
          <w:bCs w:val="1"/>
          <w:i w:val="1"/>
          <w:iCs w:val="1"/>
          <w:color w:val="auto"/>
        </w:rPr>
        <w:t>Stockholders’ Representative</w:t>
      </w:r>
      <w:r>
        <w:rPr>
          <w:rFonts w:ascii="Arial" w:cs="Arial" w:eastAsia="Arial" w:hAnsi="Arial"/>
          <w:sz w:val="15"/>
          <w:szCs w:val="15"/>
          <w:color w:val="auto"/>
        </w:rPr>
        <w:t>”). The Merger Agreement provides, among other things, that on the terms and subject to the conditions set forth therein, Merger Sub will merge with and into Gemini, with Gemini surviving as a wholly owned subsidiary of the Company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Upon the closing of the Merger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it is anticipated that the Company will change its name to “Gemini Therapeutics, Inc.” and is referred to herein as “New Gemini” as of the time following such change of name. The date on which the Closing actually occurs is hereinafter referred to as the “</w:t>
      </w:r>
      <w:r>
        <w:rPr>
          <w:rFonts w:ascii="Arial" w:cs="Arial" w:eastAsia="Arial" w:hAnsi="Arial"/>
          <w:sz w:val="15"/>
          <w:szCs w:val="15"/>
          <w:b w:val="1"/>
          <w:bCs w:val="1"/>
          <w:i w:val="1"/>
          <w:iCs w:val="1"/>
          <w:color w:val="auto"/>
        </w:rPr>
        <w:t>Closing Date</w:t>
      </w:r>
      <w:r>
        <w:rPr>
          <w:rFonts w:ascii="Arial" w:cs="Arial" w:eastAsia="Arial" w:hAnsi="Arial"/>
          <w:sz w:val="15"/>
          <w:szCs w:val="15"/>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Consideration and Structure</w:t>
      </w:r>
    </w:p>
    <w:p>
      <w:pPr>
        <w:spacing w:after="0" w:line="198" w:lineRule="exact"/>
        <w:rPr>
          <w:sz w:val="20"/>
          <w:szCs w:val="20"/>
          <w:color w:val="auto"/>
        </w:rPr>
      </w:pPr>
    </w:p>
    <w:p>
      <w:pPr>
        <w:ind w:right="280" w:firstLine="574"/>
        <w:spacing w:after="0" w:line="275" w:lineRule="auto"/>
        <w:rPr>
          <w:sz w:val="20"/>
          <w:szCs w:val="20"/>
          <w:color w:val="auto"/>
        </w:rPr>
      </w:pPr>
      <w:r>
        <w:rPr>
          <w:rFonts w:ascii="Arial" w:cs="Arial" w:eastAsia="Arial" w:hAnsi="Arial"/>
          <w:sz w:val="16"/>
          <w:szCs w:val="16"/>
          <w:color w:val="auto"/>
        </w:rPr>
        <w:t>Under the Merger Agreement, the Company has agreed to acquire all of the outstanding equity interests of Gemini in exchange for 21,500,000 shares of Company Class A common stock, subject to adjustments, to be paid at the effective time of the Merger.</w:t>
      </w:r>
    </w:p>
    <w:p>
      <w:pPr>
        <w:spacing w:after="0" w:line="152" w:lineRule="exact"/>
        <w:rPr>
          <w:sz w:val="20"/>
          <w:szCs w:val="20"/>
          <w:color w:val="auto"/>
        </w:rPr>
      </w:pPr>
    </w:p>
    <w:p>
      <w:pPr>
        <w:ind w:right="180" w:firstLine="574"/>
        <w:spacing w:after="0" w:line="255" w:lineRule="auto"/>
        <w:rPr>
          <w:sz w:val="20"/>
          <w:szCs w:val="20"/>
          <w:color w:val="auto"/>
        </w:rPr>
      </w:pPr>
      <w:r>
        <w:rPr>
          <w:rFonts w:ascii="Arial" w:cs="Arial" w:eastAsia="Arial" w:hAnsi="Arial"/>
          <w:sz w:val="16"/>
          <w:szCs w:val="16"/>
          <w:color w:val="auto"/>
        </w:rPr>
        <w:t>Pursuant to the Merger Agreement,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Representations, Warranties and Covenants</w:t>
      </w:r>
    </w:p>
    <w:p>
      <w:pPr>
        <w:spacing w:after="0" w:line="198" w:lineRule="exact"/>
        <w:rPr>
          <w:sz w:val="20"/>
          <w:szCs w:val="20"/>
          <w:color w:val="auto"/>
        </w:rPr>
      </w:pPr>
    </w:p>
    <w:p>
      <w:pPr>
        <w:ind w:firstLine="574"/>
        <w:spacing w:after="0" w:line="254" w:lineRule="auto"/>
        <w:rPr>
          <w:sz w:val="20"/>
          <w:szCs w:val="20"/>
          <w:color w:val="auto"/>
        </w:rPr>
      </w:pPr>
      <w:r>
        <w:rPr>
          <w:rFonts w:ascii="Arial" w:cs="Arial" w:eastAsia="Arial" w:hAnsi="Arial"/>
          <w:sz w:val="16"/>
          <w:szCs w:val="16"/>
          <w:color w:val="auto"/>
        </w:rPr>
        <w:t>The parties to the Merger Agreement have agreed to customary representations and warranties for transactions of this type. The representations and warranties of Gemini made under the Merger Agreement will survive until twelve (12) months following the Closing. In addition, the parties to the Merger Agreement agreed to be bound by certain customary covenants for transactions of this type, including, among others, covenants with respect to the conduct of Gemini, the Company and their respective subsidiaries during the period between execution of the Merger Agreement and the Closing. The covenants made under the Merger Agreement will not survive the Closing. Each of the parties to the Merger Agreement has agreed to use its reasonable best efforts to cause all actions and things necessary to consummate and expeditiously implement the Merger.</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16"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i w:val="1"/>
          <w:iCs w:val="1"/>
          <w:color w:val="auto"/>
        </w:rPr>
        <w:t>Conditions to Closing</w:t>
      </w:r>
    </w:p>
    <w:p>
      <w:pPr>
        <w:spacing w:after="0" w:line="198" w:lineRule="exact"/>
        <w:rPr>
          <w:sz w:val="20"/>
          <w:szCs w:val="20"/>
          <w:color w:val="auto"/>
        </w:rPr>
      </w:pPr>
    </w:p>
    <w:p>
      <w:pPr>
        <w:ind w:firstLine="574"/>
        <w:spacing w:after="0" w:line="270" w:lineRule="auto"/>
        <w:rPr>
          <w:sz w:val="20"/>
          <w:szCs w:val="20"/>
          <w:color w:val="auto"/>
        </w:rPr>
      </w:pPr>
      <w:r>
        <w:rPr>
          <w:rFonts w:ascii="Arial" w:cs="Arial" w:eastAsia="Arial" w:hAnsi="Arial"/>
          <w:sz w:val="15"/>
          <w:szCs w:val="15"/>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w:t>
      </w:r>
      <w:r>
        <w:rPr>
          <w:rFonts w:ascii="Arial" w:cs="Arial" w:eastAsia="Arial" w:hAnsi="Arial"/>
          <w:sz w:val="15"/>
          <w:szCs w:val="15"/>
          <w:b w:val="1"/>
          <w:bCs w:val="1"/>
          <w:i w:val="1"/>
          <w:iCs w:val="1"/>
          <w:color w:val="auto"/>
        </w:rPr>
        <w:t>Company Stockholder Approval</w:t>
      </w:r>
      <w:r>
        <w:rPr>
          <w:rFonts w:ascii="Arial" w:cs="Arial" w:eastAsia="Arial" w:hAnsi="Arial"/>
          <w:sz w:val="15"/>
          <w:szCs w:val="15"/>
          <w:color w:val="auto"/>
        </w:rPr>
        <w:t>”) and the Gemini’s stockholders (the “</w:t>
      </w:r>
      <w:r>
        <w:rPr>
          <w:rFonts w:ascii="Arial" w:cs="Arial" w:eastAsia="Arial" w:hAnsi="Arial"/>
          <w:sz w:val="15"/>
          <w:szCs w:val="15"/>
          <w:b w:val="1"/>
          <w:bCs w:val="1"/>
          <w:i w:val="1"/>
          <w:iCs w:val="1"/>
          <w:color w:val="auto"/>
        </w:rPr>
        <w:t>Gemini Stockholder Approval</w:t>
      </w:r>
      <w:r>
        <w:rPr>
          <w:rFonts w:ascii="Arial" w:cs="Arial" w:eastAsia="Arial" w:hAnsi="Arial"/>
          <w:sz w:val="15"/>
          <w:szCs w:val="15"/>
          <w:color w:val="auto"/>
        </w:rPr>
        <w:t>”);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 (v) the Company has not redeemed the Class A of common stock of the Company in an amount that would cause the Company to have net tangible assets of less than $5,000,001 upon consummation of the Merger; and (vi) 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w:t>
      </w:r>
    </w:p>
    <w:p>
      <w:pPr>
        <w:spacing w:after="0" w:line="198" w:lineRule="exact"/>
        <w:rPr>
          <w:sz w:val="20"/>
          <w:szCs w:val="20"/>
          <w:color w:val="auto"/>
        </w:rPr>
      </w:pPr>
    </w:p>
    <w:p>
      <w:pPr>
        <w:ind w:right="40" w:firstLine="574"/>
        <w:spacing w:after="0" w:line="252" w:lineRule="auto"/>
        <w:rPr>
          <w:sz w:val="20"/>
          <w:szCs w:val="20"/>
          <w:color w:val="auto"/>
        </w:rPr>
      </w:pPr>
      <w:r>
        <w:rPr>
          <w:rFonts w:ascii="Arial" w:cs="Arial" w:eastAsia="Arial" w:hAnsi="Arial"/>
          <w:sz w:val="16"/>
          <w:szCs w:val="16"/>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73" w:lineRule="exact"/>
        <w:rPr>
          <w:sz w:val="20"/>
          <w:szCs w:val="20"/>
          <w:color w:val="auto"/>
        </w:rPr>
      </w:pPr>
    </w:p>
    <w:p>
      <w:pPr>
        <w:ind w:right="80" w:firstLine="574"/>
        <w:spacing w:after="0" w:line="269" w:lineRule="auto"/>
        <w:rPr>
          <w:sz w:val="20"/>
          <w:szCs w:val="20"/>
          <w:color w:val="auto"/>
        </w:rPr>
      </w:pPr>
      <w:r>
        <w:rPr>
          <w:rFonts w:ascii="Arial" w:cs="Arial" w:eastAsia="Arial" w:hAnsi="Arial"/>
          <w:sz w:val="15"/>
          <w:szCs w:val="15"/>
          <w:color w:val="auto"/>
        </w:rPr>
        <w:t>A copy of the Merger Agreement will be filed by amendment on Form 8-K/A to this Current Report on Form 8-K (this “</w:t>
      </w:r>
      <w:r>
        <w:rPr>
          <w:rFonts w:ascii="Arial" w:cs="Arial" w:eastAsia="Arial" w:hAnsi="Arial"/>
          <w:sz w:val="15"/>
          <w:szCs w:val="15"/>
          <w:b w:val="1"/>
          <w:bCs w:val="1"/>
          <w:i w:val="1"/>
          <w:iCs w:val="1"/>
          <w:color w:val="auto"/>
        </w:rPr>
        <w:t>Current Report</w:t>
      </w:r>
      <w:r>
        <w:rPr>
          <w:rFonts w:ascii="Arial" w:cs="Arial" w:eastAsia="Arial" w:hAnsi="Arial"/>
          <w:sz w:val="15"/>
          <w:szCs w:val="15"/>
          <w:color w:val="auto"/>
        </w:rPr>
        <w:t>”) within four (4) business days of the date hereof as Exhibit 2.1, and the foregoing description of the Merger Agreement and the Merger does not purport to be complete and is qualified in its entirety by reference thereto.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Merger Agreement will be filed to provide investors with information regarding its terms. It is not intended to provide any other factual information about the parties to the Merger Agreement. In particular, the representations, warranties, covenants and agreements contained in the Merger Agreement, which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security holders and reports and documents filed with the SEC. Investors and security holders are not third-party beneficiaries under Merger Agreement and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the Company’s public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Agreements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Merger Agreement contemplates the execution of various additional agreements and instruments, on or before the Closing, including, among others, the following: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Company Support Agreement</w:t>
      </w:r>
    </w:p>
    <w:p>
      <w:pPr>
        <w:spacing w:after="0" w:line="198" w:lineRule="exact"/>
        <w:rPr>
          <w:sz w:val="20"/>
          <w:szCs w:val="20"/>
          <w:color w:val="auto"/>
        </w:rPr>
      </w:pPr>
    </w:p>
    <w:p>
      <w:pPr>
        <w:ind w:right="60" w:firstLine="574"/>
        <w:spacing w:after="0" w:line="294" w:lineRule="auto"/>
        <w:rPr>
          <w:sz w:val="20"/>
          <w:szCs w:val="20"/>
          <w:color w:val="auto"/>
        </w:rPr>
      </w:pPr>
      <w:r>
        <w:rPr>
          <w:rFonts w:ascii="Arial" w:cs="Arial" w:eastAsia="Arial" w:hAnsi="Arial"/>
          <w:sz w:val="14"/>
          <w:szCs w:val="14"/>
          <w:color w:val="auto"/>
        </w:rPr>
        <w:t>In connection with the execution of the Merger Agreement, certain stockholders of the Company (the “</w:t>
      </w:r>
      <w:r>
        <w:rPr>
          <w:rFonts w:ascii="Arial" w:cs="Arial" w:eastAsia="Arial" w:hAnsi="Arial"/>
          <w:sz w:val="14"/>
          <w:szCs w:val="14"/>
          <w:b w:val="1"/>
          <w:bCs w:val="1"/>
          <w:i w:val="1"/>
          <w:iCs w:val="1"/>
          <w:color w:val="auto"/>
        </w:rPr>
        <w:t>Company Supporting Stockholders</w:t>
      </w:r>
      <w:r>
        <w:rPr>
          <w:rFonts w:ascii="Arial" w:cs="Arial" w:eastAsia="Arial" w:hAnsi="Arial"/>
          <w:sz w:val="14"/>
          <w:szCs w:val="14"/>
          <w:color w:val="auto"/>
        </w:rPr>
        <w:t>”) entered into support agreements with the Company and Gemini (the “</w:t>
      </w:r>
      <w:r>
        <w:rPr>
          <w:rFonts w:ascii="Arial" w:cs="Arial" w:eastAsia="Arial" w:hAnsi="Arial"/>
          <w:sz w:val="14"/>
          <w:szCs w:val="14"/>
          <w:b w:val="1"/>
          <w:bCs w:val="1"/>
          <w:i w:val="1"/>
          <w:iCs w:val="1"/>
          <w:color w:val="auto"/>
        </w:rPr>
        <w:t>Company Support Agreements</w:t>
      </w:r>
      <w:r>
        <w:rPr>
          <w:rFonts w:ascii="Arial" w:cs="Arial" w:eastAsia="Arial" w:hAnsi="Arial"/>
          <w:sz w:val="14"/>
          <w:szCs w:val="14"/>
          <w:color w:val="auto"/>
        </w:rPr>
        <w:t>”). Under the Company Support Agreements, each Company Supporting Stockholder agreed to vote, at any meeting of the stockholders of the Company, and in any action by written consent of the stockholders of the Company, all of such Company Supporting Stockholder’s Class A common stock and Class B common stock (i) in favor of the Merger Agreement, each of the Parent Proposals (as defined in the Merger Agreement) and the transactions contemplated by the Merger Agreement and the Company Support Agreement, and (ii) in favor of any other matter reasonably necessary to the consummation of the transactions contemplated by the Merger Agreement and the approval of the Parent Proposals. In addition, the Company Support Agreements prohibit the Company Supporting Stockholders from, among other things, selling, assigning or transferring any Class A common stock or Class B common stock held by the Company Supporting Stockholders or taking any action that would prevent or disable the Company Support Stockholders from performing its obligations thereunder.</w:t>
      </w:r>
    </w:p>
    <w:p>
      <w:pPr>
        <w:spacing w:after="0" w:line="143" w:lineRule="exact"/>
        <w:rPr>
          <w:sz w:val="20"/>
          <w:szCs w:val="20"/>
          <w:color w:val="auto"/>
        </w:rPr>
      </w:pPr>
    </w:p>
    <w:p>
      <w:pPr>
        <w:ind w:right="440" w:firstLine="574"/>
        <w:spacing w:after="0" w:line="275" w:lineRule="auto"/>
        <w:rPr>
          <w:sz w:val="20"/>
          <w:szCs w:val="20"/>
          <w:color w:val="auto"/>
        </w:rPr>
      </w:pPr>
      <w:r>
        <w:rPr>
          <w:rFonts w:ascii="Arial" w:cs="Arial" w:eastAsia="Arial" w:hAnsi="Arial"/>
          <w:sz w:val="16"/>
          <w:szCs w:val="16"/>
          <w:color w:val="auto"/>
        </w:rPr>
        <w:t>The foregoing description of the Company Support Agreements does not purport to be complete and is qualified in its entirety by the terms and conditions of the Company Support Agreements, a form of which is attached as Exhibit C to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Gemini Support Agreement</w:t>
      </w:r>
    </w:p>
    <w:p>
      <w:pPr>
        <w:spacing w:after="0" w:line="198" w:lineRule="exact"/>
        <w:rPr>
          <w:sz w:val="20"/>
          <w:szCs w:val="20"/>
          <w:color w:val="auto"/>
        </w:rPr>
      </w:pPr>
    </w:p>
    <w:p>
      <w:pPr>
        <w:ind w:firstLine="574"/>
        <w:spacing w:after="0" w:line="289" w:lineRule="auto"/>
        <w:rPr>
          <w:sz w:val="20"/>
          <w:szCs w:val="20"/>
          <w:color w:val="auto"/>
        </w:rPr>
      </w:pPr>
      <w:r>
        <w:rPr>
          <w:rFonts w:ascii="Arial" w:cs="Arial" w:eastAsia="Arial" w:hAnsi="Arial"/>
          <w:sz w:val="14"/>
          <w:szCs w:val="14"/>
          <w:color w:val="auto"/>
        </w:rPr>
        <w:t>In connection with the execution of the Merger Agreement, certain Gemini stockholders (the “</w:t>
      </w:r>
      <w:r>
        <w:rPr>
          <w:rFonts w:ascii="Arial" w:cs="Arial" w:eastAsia="Arial" w:hAnsi="Arial"/>
          <w:sz w:val="14"/>
          <w:szCs w:val="14"/>
          <w:b w:val="1"/>
          <w:bCs w:val="1"/>
          <w:i w:val="1"/>
          <w:iCs w:val="1"/>
          <w:color w:val="auto"/>
        </w:rPr>
        <w:t>Gemini Supporting Stockholders</w:t>
      </w:r>
      <w:r>
        <w:rPr>
          <w:rFonts w:ascii="Arial" w:cs="Arial" w:eastAsia="Arial" w:hAnsi="Arial"/>
          <w:sz w:val="14"/>
          <w:szCs w:val="14"/>
          <w:color w:val="auto"/>
        </w:rPr>
        <w:t>”) entered into support agreements with the Company (the “</w:t>
      </w:r>
      <w:r>
        <w:rPr>
          <w:rFonts w:ascii="Arial" w:cs="Arial" w:eastAsia="Arial" w:hAnsi="Arial"/>
          <w:sz w:val="14"/>
          <w:szCs w:val="14"/>
          <w:b w:val="1"/>
          <w:bCs w:val="1"/>
          <w:i w:val="1"/>
          <w:iCs w:val="1"/>
          <w:color w:val="auto"/>
        </w:rPr>
        <w:t>Gemini Support Agreements</w:t>
      </w:r>
      <w:r>
        <w:rPr>
          <w:rFonts w:ascii="Arial" w:cs="Arial" w:eastAsia="Arial" w:hAnsi="Arial"/>
          <w:sz w:val="14"/>
          <w:szCs w:val="14"/>
          <w:color w:val="auto"/>
        </w:rPr>
        <w:t>”). Under the Gemini Support Agreements, each Gemini Supporting Stockholder agreed, as promptly as reasonably practicable (and in any event within two (2) business days) following the SEC declaring effective the 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w:t>
      </w:r>
      <w:r>
        <w:rPr>
          <w:rFonts w:ascii="Arial" w:cs="Arial" w:eastAsia="Arial" w:hAnsi="Arial"/>
          <w:sz w:val="14"/>
          <w:szCs w:val="14"/>
          <w:b w:val="1"/>
          <w:bCs w:val="1"/>
          <w:i w:val="1"/>
          <w:iCs w:val="1"/>
          <w:color w:val="auto"/>
        </w:rPr>
        <w:t>Subject Gemini Shares</w:t>
      </w:r>
      <w:r>
        <w:rPr>
          <w:rFonts w:ascii="Arial" w:cs="Arial" w:eastAsia="Arial" w:hAnsi="Arial"/>
          <w:sz w:val="14"/>
          <w:szCs w:val="14"/>
          <w:color w:val="auto"/>
        </w:rPr>
        <w:t>”)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 (iii) 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54" w:lineRule="exact"/>
        <w:rPr>
          <w:sz w:val="20"/>
          <w:szCs w:val="20"/>
          <w:color w:val="auto"/>
        </w:rPr>
      </w:pPr>
    </w:p>
    <w:p>
      <w:pPr>
        <w:ind w:right="80" w:firstLine="574"/>
        <w:spacing w:after="0" w:line="275" w:lineRule="auto"/>
        <w:rPr>
          <w:sz w:val="20"/>
          <w:szCs w:val="20"/>
          <w:color w:val="auto"/>
        </w:rPr>
      </w:pPr>
      <w:r>
        <w:rPr>
          <w:rFonts w:ascii="Arial" w:cs="Arial" w:eastAsia="Arial" w:hAnsi="Arial"/>
          <w:sz w:val="16"/>
          <w:szCs w:val="16"/>
          <w:color w:val="auto"/>
        </w:rPr>
        <w:t>The foregoing description of the Gemini Support Agreements does not purport to be complete and is qualified in its entirety by the terms and conditions of the Gemini Support Agreements, a form of which is attached as Exhibit A to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 Agreement</w:t>
      </w:r>
    </w:p>
    <w:p>
      <w:pPr>
        <w:spacing w:after="0" w:line="198" w:lineRule="exact"/>
        <w:rPr>
          <w:sz w:val="20"/>
          <w:szCs w:val="20"/>
          <w:color w:val="auto"/>
        </w:rPr>
      </w:pPr>
    </w:p>
    <w:p>
      <w:pPr>
        <w:ind w:right="140" w:firstLine="574"/>
        <w:spacing w:after="0" w:line="280" w:lineRule="auto"/>
        <w:rPr>
          <w:sz w:val="20"/>
          <w:szCs w:val="20"/>
          <w:color w:val="auto"/>
        </w:rPr>
      </w:pPr>
      <w:r>
        <w:rPr>
          <w:rFonts w:ascii="Arial" w:cs="Arial" w:eastAsia="Arial" w:hAnsi="Arial"/>
          <w:sz w:val="15"/>
          <w:szCs w:val="15"/>
          <w:color w:val="auto"/>
        </w:rPr>
        <w:t>In connection with the Merger, the Company entered into subscription agreements with certain investors (the “</w:t>
      </w:r>
      <w:r>
        <w:rPr>
          <w:rFonts w:ascii="Arial" w:cs="Arial" w:eastAsia="Arial" w:hAnsi="Arial"/>
          <w:sz w:val="15"/>
          <w:szCs w:val="15"/>
          <w:b w:val="1"/>
          <w:bCs w:val="1"/>
          <w:i w:val="1"/>
          <w:iCs w:val="1"/>
          <w:color w:val="auto"/>
        </w:rPr>
        <w:t>Subscription Agreements</w:t>
      </w:r>
      <w:r>
        <w:rPr>
          <w:rFonts w:ascii="Arial" w:cs="Arial" w:eastAsia="Arial" w:hAnsi="Arial"/>
          <w:sz w:val="15"/>
          <w:szCs w:val="15"/>
          <w:color w:val="auto"/>
        </w:rPr>
        <w:t>”), pursuant to which, among other things, certain investors have subscribed to purchase an aggregate of 9,500,000 shares of Class A common stock of the Company (together, the “</w:t>
      </w:r>
      <w:r>
        <w:rPr>
          <w:rFonts w:ascii="Arial" w:cs="Arial" w:eastAsia="Arial" w:hAnsi="Arial"/>
          <w:sz w:val="15"/>
          <w:szCs w:val="15"/>
          <w:b w:val="1"/>
          <w:bCs w:val="1"/>
          <w:i w:val="1"/>
          <w:iCs w:val="1"/>
          <w:color w:val="auto"/>
        </w:rPr>
        <w:t>Subscriptions</w:t>
      </w:r>
      <w:r>
        <w:rPr>
          <w:rFonts w:ascii="Arial" w:cs="Arial" w:eastAsia="Arial" w:hAnsi="Arial"/>
          <w:sz w:val="15"/>
          <w:szCs w:val="15"/>
          <w:color w:val="auto"/>
        </w:rPr>
        <w:t>”) for a purchase price of $10.00 per share to be issued at the Closing. The obligations of each party to consummate the Subscriptions are conditioned upon, among other things, customary closing conditions and the consummation of the transactions contemplated by the Merger Agreement.</w:t>
      </w:r>
    </w:p>
    <w:p>
      <w:pPr>
        <w:spacing w:after="0" w:line="151" w:lineRule="exact"/>
        <w:rPr>
          <w:sz w:val="20"/>
          <w:szCs w:val="20"/>
          <w:color w:val="auto"/>
        </w:rPr>
      </w:pPr>
    </w:p>
    <w:p>
      <w:pPr>
        <w:ind w:right="120" w:firstLine="574"/>
        <w:spacing w:after="0" w:line="275" w:lineRule="auto"/>
        <w:rPr>
          <w:sz w:val="20"/>
          <w:szCs w:val="20"/>
          <w:color w:val="auto"/>
        </w:rPr>
      </w:pPr>
      <w:r>
        <w:rPr>
          <w:rFonts w:ascii="Arial" w:cs="Arial" w:eastAsia="Arial" w:hAnsi="Arial"/>
          <w:sz w:val="16"/>
          <w:szCs w:val="16"/>
          <w:color w:val="auto"/>
        </w:rPr>
        <w:t>A copy of the forms of the Subscription Agreement will be filed by amendment on Form 8-K/A to this Current Report within four (4) business days of the date hereof as Exhibit 10.1 and the foregoing description of the Subscription Agreements is qualified in its entirety by reference thereto.</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 w:name="page5"/>
    <w:bookmarkEnd w:id="4"/>
    <w:p>
      <w:pPr>
        <w:spacing w:after="0"/>
        <w:tabs>
          <w:tab w:leader="none" w:pos="1220" w:val="left"/>
        </w:tabs>
        <w:rPr>
          <w:sz w:val="20"/>
          <w:szCs w:val="20"/>
          <w:color w:val="auto"/>
        </w:rPr>
      </w:pPr>
      <w:r>
        <w:rPr>
          <w:rFonts w:ascii="Arial" w:cs="Arial" w:eastAsia="Arial" w:hAnsi="Arial"/>
          <w:sz w:val="16"/>
          <w:szCs w:val="16"/>
          <w:b w:val="1"/>
          <w:bCs w:val="1"/>
          <w:color w:val="auto"/>
        </w:rPr>
        <w:t>Item 3.02</w:t>
      </w:r>
      <w:r>
        <w:rPr>
          <w:sz w:val="20"/>
          <w:szCs w:val="20"/>
          <w:color w:val="auto"/>
        </w:rPr>
        <w:tab/>
      </w:r>
      <w:r>
        <w:rPr>
          <w:rFonts w:ascii="Arial" w:cs="Arial" w:eastAsia="Arial" w:hAnsi="Arial"/>
          <w:sz w:val="14"/>
          <w:szCs w:val="14"/>
          <w:b w:val="1"/>
          <w:bCs w:val="1"/>
          <w:color w:val="auto"/>
        </w:rPr>
        <w:t>Unregistered Sales of Equity Securities.</w:t>
      </w:r>
    </w:p>
    <w:p>
      <w:pPr>
        <w:spacing w:after="0" w:line="202" w:lineRule="exact"/>
        <w:rPr>
          <w:sz w:val="20"/>
          <w:szCs w:val="20"/>
          <w:color w:val="auto"/>
        </w:rPr>
      </w:pPr>
    </w:p>
    <w:p>
      <w:pPr>
        <w:ind w:right="80" w:firstLine="574"/>
        <w:spacing w:after="0" w:line="291" w:lineRule="auto"/>
        <w:rPr>
          <w:sz w:val="20"/>
          <w:szCs w:val="20"/>
          <w:color w:val="auto"/>
        </w:rPr>
      </w:pPr>
      <w:r>
        <w:rPr>
          <w:rFonts w:ascii="Arial" w:cs="Arial" w:eastAsia="Arial" w:hAnsi="Arial"/>
          <w:sz w:val="14"/>
          <w:szCs w:val="14"/>
          <w:color w:val="auto"/>
        </w:rPr>
        <w:t>The disclosure set forth above in Item 1.01 of this Current Report with respect to the issuance of the Company’s common stock in connection with the transactions contemplated by the Merger Agreement and the Subscription Agreements is incorporated by reference herein. The common stock issuable pursuant to the Subscription Agreements will not be registered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in reliance on the exemption from registration provided by Section 4(a)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 of the Securities Act.</w:t>
      </w:r>
    </w:p>
    <w:p>
      <w:pPr>
        <w:spacing w:after="0" w:line="182"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2" w:lineRule="exact"/>
        <w:rPr>
          <w:sz w:val="20"/>
          <w:szCs w:val="20"/>
          <w:color w:val="auto"/>
        </w:rPr>
      </w:pPr>
    </w:p>
    <w:p>
      <w:pPr>
        <w:ind w:right="360" w:firstLine="574"/>
        <w:spacing w:after="0" w:line="275" w:lineRule="auto"/>
        <w:rPr>
          <w:sz w:val="20"/>
          <w:szCs w:val="20"/>
          <w:color w:val="auto"/>
        </w:rPr>
      </w:pPr>
      <w:r>
        <w:rPr>
          <w:rFonts w:ascii="Arial" w:cs="Arial" w:eastAsia="Arial" w:hAnsi="Arial"/>
          <w:sz w:val="16"/>
          <w:szCs w:val="16"/>
          <w:color w:val="auto"/>
        </w:rPr>
        <w:t xml:space="preserve">On October 15, 2020, the Company issued a press release announcing that on October 15, 2020, it executed the Merger Agreement. A copy of the press release is furnished hereto as </w:t>
      </w:r>
      <w:r>
        <w:rPr>
          <w:rFonts w:ascii="Arial" w:cs="Arial" w:eastAsia="Arial" w:hAnsi="Arial"/>
          <w:sz w:val="16"/>
          <w:szCs w:val="16"/>
          <w:u w:val="single" w:color="auto"/>
          <w:color w:val="auto"/>
        </w:rPr>
        <w:t>Exhibit 99.1</w:t>
      </w:r>
      <w:r>
        <w:rPr>
          <w:rFonts w:ascii="Arial" w:cs="Arial" w:eastAsia="Arial" w:hAnsi="Arial"/>
          <w:sz w:val="16"/>
          <w:szCs w:val="16"/>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Furnished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hereto is the investor presentation that will be used by the Company in connection with the Merger.</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The information in this Item 7.01 and </w:t>
      </w:r>
      <w:r>
        <w:rPr>
          <w:rFonts w:ascii="Arial" w:cs="Arial" w:eastAsia="Arial" w:hAnsi="Arial"/>
          <w:sz w:val="16"/>
          <w:szCs w:val="16"/>
          <w:u w:val="single" w:color="auto"/>
          <w:color w:val="auto"/>
        </w:rPr>
        <w:t>Exhibits 99.1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99.2</w:t>
      </w:r>
      <w:r>
        <w:rPr>
          <w:rFonts w:ascii="Arial" w:cs="Arial" w:eastAsia="Arial" w:hAnsi="Arial"/>
          <w:sz w:val="16"/>
          <w:szCs w:val="16"/>
          <w:color w:val="auto"/>
        </w:rPr>
        <w:t xml:space="preserve"> attached hereto shall not be deemed “filed” for purposes of Section 18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otherwise subject to the liabilities of that section, nor shall it be deemed incorporated by reference in any filing under the Securities Act or the Exchange Act, except as expressly set forth by specific reference in such filing.</w:t>
      </w:r>
    </w:p>
    <w:p>
      <w:pPr>
        <w:spacing w:after="0" w:line="158"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Agreement</w:t>
      </w:r>
    </w:p>
    <w:p>
      <w:pPr>
        <w:spacing w:after="0" w:line="198" w:lineRule="exact"/>
        <w:rPr>
          <w:sz w:val="20"/>
          <w:szCs w:val="20"/>
          <w:color w:val="auto"/>
        </w:rPr>
      </w:pPr>
    </w:p>
    <w:p>
      <w:pPr>
        <w:ind w:right="280" w:firstLine="574"/>
        <w:spacing w:after="0" w:line="291" w:lineRule="auto"/>
        <w:rPr>
          <w:sz w:val="20"/>
          <w:szCs w:val="20"/>
          <w:color w:val="auto"/>
        </w:rPr>
      </w:pPr>
      <w:r>
        <w:rPr>
          <w:rFonts w:ascii="Arial" w:cs="Arial" w:eastAsia="Arial" w:hAnsi="Arial"/>
          <w:sz w:val="15"/>
          <w:szCs w:val="15"/>
          <w:color w:val="auto"/>
        </w:rPr>
        <w:t>In connection with the Closing, FS Development Holdings, LLC (the “</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New Gemini and certain stockholders of New Gemini will enter into a voting agreement (the “</w:t>
      </w:r>
      <w:r>
        <w:rPr>
          <w:rFonts w:ascii="Arial" w:cs="Arial" w:eastAsia="Arial" w:hAnsi="Arial"/>
          <w:sz w:val="15"/>
          <w:szCs w:val="15"/>
          <w:b w:val="1"/>
          <w:bCs w:val="1"/>
          <w:i w:val="1"/>
          <w:iCs w:val="1"/>
          <w:color w:val="auto"/>
        </w:rPr>
        <w:t>Voting Agreement</w:t>
      </w:r>
      <w:r>
        <w:rPr>
          <w:rFonts w:ascii="Arial" w:cs="Arial" w:eastAsia="Arial" w:hAnsi="Arial"/>
          <w:sz w:val="15"/>
          <w:szCs w:val="15"/>
          <w:color w:val="auto"/>
        </w:rPr>
        <w:t>”), pursuant to which the Sponsor will have the right to designate one (1) individual for election as a member of the board of directors of New Gemini until the fifth (5</w:t>
      </w:r>
      <w:r>
        <w:rPr>
          <w:rFonts w:ascii="Arial" w:cs="Arial" w:eastAsia="Arial" w:hAnsi="Arial"/>
          <w:sz w:val="25"/>
          <w:szCs w:val="25"/>
          <w:color w:val="auto"/>
          <w:vertAlign w:val="superscript"/>
        </w:rPr>
        <w:t>th</w:t>
      </w:r>
      <w:r>
        <w:rPr>
          <w:rFonts w:ascii="Arial" w:cs="Arial" w:eastAsia="Arial" w:hAnsi="Arial"/>
          <w:sz w:val="15"/>
          <w:szCs w:val="15"/>
          <w:color w:val="auto"/>
        </w:rPr>
        <w:t>) anniversary of the date of the Voting Agreement, subject to certain terms and holding requirements set forth therein.</w:t>
      </w:r>
    </w:p>
    <w:p>
      <w:pPr>
        <w:spacing w:after="0" w:line="34" w:lineRule="exact"/>
        <w:rPr>
          <w:sz w:val="20"/>
          <w:szCs w:val="20"/>
          <w:color w:val="auto"/>
        </w:rPr>
      </w:pPr>
    </w:p>
    <w:p>
      <w:pPr>
        <w:ind w:right="740" w:firstLine="574"/>
        <w:spacing w:after="0" w:line="275" w:lineRule="auto"/>
        <w:rPr>
          <w:sz w:val="20"/>
          <w:szCs w:val="20"/>
          <w:color w:val="auto"/>
        </w:rPr>
      </w:pPr>
      <w:r>
        <w:rPr>
          <w:rFonts w:ascii="Arial" w:cs="Arial" w:eastAsia="Arial" w:hAnsi="Arial"/>
          <w:sz w:val="16"/>
          <w:szCs w:val="16"/>
          <w:color w:val="auto"/>
        </w:rPr>
        <w:t>The foregoing description of the Voting Agreement does not purport to be complete and is qualified in its entirety by the terms and conditions of the Voting Agreement, a form of which is attached as Exhibit D to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Rights Agreement</w:t>
      </w:r>
    </w:p>
    <w:p>
      <w:pPr>
        <w:spacing w:after="0" w:line="198" w:lineRule="exact"/>
        <w:rPr>
          <w:sz w:val="20"/>
          <w:szCs w:val="20"/>
          <w:color w:val="auto"/>
        </w:rPr>
      </w:pPr>
    </w:p>
    <w:p>
      <w:pPr>
        <w:ind w:firstLine="574"/>
        <w:spacing w:after="0" w:line="301" w:lineRule="auto"/>
        <w:rPr>
          <w:sz w:val="20"/>
          <w:szCs w:val="20"/>
          <w:color w:val="auto"/>
        </w:rPr>
      </w:pPr>
      <w:r>
        <w:rPr>
          <w:rFonts w:ascii="Arial" w:cs="Arial" w:eastAsia="Arial" w:hAnsi="Arial"/>
          <w:sz w:val="14"/>
          <w:szCs w:val="14"/>
          <w:color w:val="auto"/>
        </w:rPr>
        <w:t>In connection with the Closing, the Company, and Gemini, and certain of their respective stockholders will enter into a registration rights agreement (the “</w:t>
      </w:r>
      <w:r>
        <w:rPr>
          <w:rFonts w:ascii="Arial" w:cs="Arial" w:eastAsia="Arial" w:hAnsi="Arial"/>
          <w:sz w:val="14"/>
          <w:szCs w:val="14"/>
          <w:b w:val="1"/>
          <w:bCs w:val="1"/>
          <w:i w:val="1"/>
          <w:i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Rights Agreement</w:t>
      </w:r>
      <w:r>
        <w:rPr>
          <w:rFonts w:ascii="Arial" w:cs="Arial" w:eastAsia="Arial" w:hAnsi="Arial"/>
          <w:sz w:val="14"/>
          <w:szCs w:val="14"/>
          <w:color w:val="auto"/>
        </w:rPr>
        <w:t>”). Pursuant to the Registration Rights Agreement, New Gemini will be required to register for resale securities held by the stockholders party thereto.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addition, the holders will have certain demand and “piggyback” registration rights. New Gemini will bear the expenses incurred in connection with the filing of any registration statements pursuant to the Registration Rights Agreement. The Registration Rights Agreement will also restrict the ability of each stockholder who is a party thereto to transfer its shares of New Gemini common stock for a period of one hundred eighty (180) days following the Closing, subject to certain permitted transfers.</w:t>
      </w:r>
    </w:p>
    <w:p>
      <w:pPr>
        <w:spacing w:after="0" w:line="138" w:lineRule="exact"/>
        <w:rPr>
          <w:sz w:val="20"/>
          <w:szCs w:val="20"/>
          <w:color w:val="auto"/>
        </w:rPr>
      </w:pPr>
    </w:p>
    <w:p>
      <w:pPr>
        <w:ind w:right="400" w:firstLine="574"/>
        <w:spacing w:after="0" w:line="275" w:lineRule="auto"/>
        <w:rPr>
          <w:sz w:val="20"/>
          <w:szCs w:val="20"/>
          <w:color w:val="auto"/>
        </w:rPr>
      </w:pPr>
      <w:r>
        <w:rPr>
          <w:rFonts w:ascii="Arial" w:cs="Arial" w:eastAsia="Arial" w:hAnsi="Arial"/>
          <w:sz w:val="16"/>
          <w:szCs w:val="16"/>
          <w:color w:val="auto"/>
        </w:rPr>
        <w:t>The foregoing description of the Registration Rights Agreement does not purport to be complete and is qualified in its entirety by the terms and conditions of the Registration Rights Agreement, a form of which is attached as Exhibit F to the Merger Agreement.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6"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auto"/>
        </w:rPr>
        <w:t>Important Information About the Merger and Where to Find It</w:t>
      </w:r>
    </w:p>
    <w:p>
      <w:pPr>
        <w:spacing w:after="0" w:line="198" w:lineRule="exact"/>
        <w:rPr>
          <w:sz w:val="20"/>
          <w:szCs w:val="20"/>
          <w:color w:val="auto"/>
        </w:rPr>
      </w:pPr>
    </w:p>
    <w:p>
      <w:pPr>
        <w:ind w:firstLine="574"/>
        <w:spacing w:after="0" w:line="271" w:lineRule="auto"/>
        <w:rPr>
          <w:sz w:val="20"/>
          <w:szCs w:val="20"/>
          <w:color w:val="auto"/>
        </w:rPr>
      </w:pPr>
      <w:r>
        <w:rPr>
          <w:rFonts w:ascii="Arial" w:cs="Arial" w:eastAsia="Arial" w:hAnsi="Arial"/>
          <w:sz w:val="15"/>
          <w:szCs w:val="15"/>
          <w:color w:val="auto"/>
        </w:rPr>
        <w:t>A full description of the terms of the business combination will be provided in a registration statement on Form S-4 to be filed with the SEC by the Company that will include a prospectus with respect to the New Gemini’s securities to be issued in connection with the business combination and a proxy statement with respect to the shareholder meeting of the Company to vote on the business combination. The Company urges its investors, shareholders and other interested persons to read, when available, the preliminary proxy statement/ prospectus as well as other documents filed with the SEC because these documents will contain important information about the Company, Gemini and the business combination. After the registration statement is declared effective, the definitive proxy statement/prospectus to be included in the registration statement will be mailed to shareholders of the Company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FS Development Corp., Attn: Secretary, 600 Montgomery Street, Suite 4500, San Francisco, California 94111. The preliminary and definitive proxy statement/prospectus to be included in the registration statement, once available, can also be obtained, without charge, at the SEC’s website (www.sec.gov)</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Participants in the Solicitation</w:t>
      </w:r>
    </w:p>
    <w:p>
      <w:pPr>
        <w:spacing w:after="0" w:line="198" w:lineRule="exact"/>
        <w:rPr>
          <w:sz w:val="20"/>
          <w:szCs w:val="20"/>
          <w:color w:val="auto"/>
        </w:rPr>
      </w:pPr>
    </w:p>
    <w:p>
      <w:pPr>
        <w:ind w:right="80" w:firstLine="574"/>
        <w:spacing w:after="0" w:line="273" w:lineRule="auto"/>
        <w:rPr>
          <w:sz w:val="20"/>
          <w:szCs w:val="20"/>
          <w:color w:val="auto"/>
        </w:rPr>
      </w:pPr>
      <w:r>
        <w:rPr>
          <w:rFonts w:ascii="Arial" w:cs="Arial" w:eastAsia="Arial" w:hAnsi="Arial"/>
          <w:sz w:val="15"/>
          <w:szCs w:val="15"/>
          <w:color w:val="auto"/>
        </w:rPr>
        <w:t>The Company and Gemini and their respective directors and executive officers may be considered participants in the solicitation of proxies with respect to the proposed business combination described in this Current Report under the rules of the SEC. Information about the directors and executive officers of the Company is set forth in the Company’s final prospectus filed with the SEC pursuant to Rule 424(b) of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on August 13, 2020, and is available free of charge at the SEC’s website at www.sec.gov or by directing a request to: FS Development Corp., Attn: Secretary, 600 Montgomery Street, Suite 4500, San Francisco, California 94111. Information regarding the persons who may, under the rules of the SEC, be deemed participants in the solicitation of the Company shareholders in connection with the proposed business combination will be set forth in the registration statement containing the proxy statement/prospectus for the proposed business combination when it is filed with the SEC. These documents can be obtained free of charge from the sources indicated above.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ind w:right="80" w:firstLine="574"/>
        <w:spacing w:after="0" w:line="287" w:lineRule="auto"/>
        <w:rPr>
          <w:sz w:val="20"/>
          <w:szCs w:val="20"/>
          <w:color w:val="auto"/>
        </w:rPr>
      </w:pPr>
      <w:r>
        <w:rPr>
          <w:rFonts w:ascii="Arial" w:cs="Arial" w:eastAsia="Arial" w:hAnsi="Arial"/>
          <w:sz w:val="14"/>
          <w:szCs w:val="14"/>
          <w:color w:val="auto"/>
        </w:rPr>
        <w:t>This Current Report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Current Report, we caution you that these statements are based on a combination of facts and factors currently known by us and our projections of the future, about which we cannot be certain. Forward-looking statements in this Current Report include, but are not limited to, statements regarding the proposed business combination, including the timing and structure of the business combination, the proceeds of the business combination, the initial market capitalization of the New Gemini and the benefits of the business combination, as well as statements about the potential attributes and benefits of Gemini’s product candidates and the format and timing of Gemini’s product development activities and clinical trials. We cannot assure you that the forward-looking statements in this Current Report will prove to be accurate. These forward-looking statements are subject to a number of significant risks and uncertainties that could cause actual results to differ materially from expected results, including, among others, the ability to complete the business combination due to the failure to obtain approval from the Company’s shareholders or satisfy other closing conditions in the Merger Agreement, the occurrence of any event that could give rise to the termination of the Merger Agreement, the ability to recognize the anticipated benefits of the business combination, the outcome of any legal proceedings that may be instituted against the Company or Gemini following announcement of the proposed business combination and related transactions, the impact of COVID-19 on Gemini’s business and/or the ability of the parties to complete the business combination, the ability to obtain or maintain the listing of the Company’s common stock on Nasdaq following the proposed business combination, costs related to the proposed business combination, changes in applicable laws or regulations, the possibility that the Company or Gemini may be adversely affected by other economic, business, and/or competitive factors. and other risks and uncertainties, including those to be included under the header “Risk Factors” in the registration statement on Form S-4 to be filed by the Company with the SEC and those included under the header “Risk Factors” in the final prospectus of the Company related to its initial public offering. Most of these factors are outside the Company’s and Gemini’s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Current Report represent our views as of the date of this Current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Current Report.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8" w:lineRule="exact"/>
        <w:rPr>
          <w:sz w:val="20"/>
          <w:szCs w:val="20"/>
          <w:color w:val="auto"/>
        </w:rPr>
      </w:pPr>
    </w:p>
    <w:p>
      <w:pPr>
        <w:ind w:right="60" w:firstLine="574"/>
        <w:spacing w:after="0" w:line="258" w:lineRule="auto"/>
        <w:rPr>
          <w:sz w:val="20"/>
          <w:szCs w:val="20"/>
          <w:color w:val="auto"/>
        </w:rPr>
      </w:pPr>
      <w:r>
        <w:rPr>
          <w:rFonts w:ascii="Arial" w:cs="Arial" w:eastAsia="Arial" w:hAnsi="Arial"/>
          <w:sz w:val="16"/>
          <w:szCs w:val="16"/>
          <w:color w:val="auto"/>
        </w:rPr>
        <w:t>This Current Report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10120" w:type="dxa"/>
            <w:vAlign w:val="bottom"/>
          </w:tcPr>
          <w:p>
            <w:pPr>
              <w:ind w:left="100"/>
              <w:spacing w:after="0"/>
              <w:rPr>
                <w:sz w:val="20"/>
                <w:szCs w:val="20"/>
                <w:color w:val="auto"/>
              </w:rPr>
            </w:pPr>
            <w:r>
              <w:rPr>
                <w:rFonts w:ascii="Arial" w:cs="Arial" w:eastAsia="Arial" w:hAnsi="Arial"/>
                <w:sz w:val="16"/>
                <w:szCs w:val="16"/>
                <w:b w:val="1"/>
                <w:bCs w:val="1"/>
                <w:color w:val="auto"/>
              </w:rPr>
              <w:t>Financial Statements and Exhibits.</w:t>
            </w:r>
          </w:p>
        </w:tc>
      </w:tr>
      <w:tr>
        <w:trPr>
          <w:trHeight w:val="382"/>
        </w:trPr>
        <w:tc>
          <w:tcPr>
            <w:tcW w:w="114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120" w:type="dxa"/>
            <w:vAlign w:val="bottom"/>
          </w:tcPr>
          <w:p>
            <w:pPr>
              <w:spacing w:after="0"/>
              <w:rPr>
                <w:sz w:val="24"/>
                <w:szCs w:val="24"/>
                <w:color w:val="auto"/>
              </w:rPr>
            </w:pPr>
          </w:p>
        </w:tc>
      </w:tr>
      <w:tr>
        <w:trPr>
          <w:trHeight w:val="398"/>
        </w:trPr>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 No.</w:t>
            </w:r>
          </w:p>
        </w:tc>
        <w:tc>
          <w:tcPr>
            <w:tcW w:w="10120" w:type="dxa"/>
            <w:vAlign w:val="bottom"/>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spacing w:after="0"/>
              <w:rPr>
                <w:rFonts w:ascii="Arial" w:cs="Arial" w:eastAsia="Arial" w:hAnsi="Arial"/>
                <w:sz w:val="16"/>
                <w:szCs w:val="16"/>
                <w:color w:val="0000EE"/>
              </w:rPr>
            </w:pPr>
            <w:hyperlink w:anchor="page9">
              <w:r>
                <w:rPr>
                  <w:rFonts w:ascii="Arial" w:cs="Arial" w:eastAsia="Arial" w:hAnsi="Arial"/>
                  <w:sz w:val="16"/>
                  <w:szCs w:val="16"/>
                  <w:u w:val="single" w:color="auto"/>
                  <w:color w:val="0000EE"/>
                </w:rPr>
                <w:t>Press Release, dated October 15, 2020</w:t>
              </w:r>
              <w:r>
                <w:rPr>
                  <w:rFonts w:ascii="Arial" w:cs="Arial" w:eastAsia="Arial" w:hAnsi="Arial"/>
                  <w:sz w:val="16"/>
                  <w:szCs w:val="16"/>
                  <w:color w:val="0000EE"/>
                </w:rPr>
                <w:t>.</w:t>
              </w:r>
            </w:hyperlink>
          </w:p>
        </w:tc>
      </w:tr>
      <w:tr>
        <w:trPr>
          <w:trHeight w:val="191"/>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Investor Presentation.</w:t>
              </w:r>
            </w:hyperlink>
          </w:p>
        </w:tc>
      </w:tr>
      <w:tr>
        <w:trPr>
          <w:trHeight w:val="60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ind w:left="4440"/>
              <w:spacing w:after="0"/>
              <w:rPr>
                <w:sz w:val="20"/>
                <w:szCs w:val="20"/>
                <w:color w:val="auto"/>
              </w:rPr>
            </w:pPr>
            <w:r>
              <w:rPr>
                <w:rFonts w:ascii="Arial" w:cs="Arial" w:eastAsia="Arial" w:hAnsi="Arial"/>
                <w:sz w:val="19"/>
                <w:szCs w:val="19"/>
                <w:color w:val="auto"/>
              </w:rPr>
              <w:t>6</w:t>
            </w:r>
          </w:p>
        </w:tc>
      </w:tr>
    </w:tbl>
    <w:p>
      <w:pPr>
        <w:sectPr>
          <w:pgSz w:w="11900" w:h="16838" w:orient="portrait"/>
          <w:cols w:equalWidth="0" w:num="1">
            <w:col w:w="11260"/>
          </w:cols>
          <w:pgMar w:left="320" w:top="820" w:right="31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6"/>
          <w:szCs w:val="16"/>
          <w:b w:val="1"/>
          <w:bCs w:val="1"/>
          <w:color w:val="auto"/>
        </w:rPr>
        <w:t>SIGNATURE</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FS Development Corp.</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20320</wp:posOffset>
            </wp:positionV>
            <wp:extent cx="257238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Dennis Ryan</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 October 15, 2020</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0"/>
          </w:cols>
          <w:pgMar w:left="320" w:top="816" w:right="49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136525</wp:posOffset>
            </wp:positionV>
            <wp:extent cx="1054735" cy="690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80" w:lineRule="auto"/>
        <w:rPr>
          <w:sz w:val="20"/>
          <w:szCs w:val="20"/>
          <w:color w:val="auto"/>
        </w:rPr>
      </w:pPr>
      <w:r>
        <w:rPr>
          <w:rFonts w:ascii="Arial" w:cs="Arial" w:eastAsia="Arial" w:hAnsi="Arial"/>
          <w:sz w:val="16"/>
          <w:szCs w:val="16"/>
          <w:b w:val="1"/>
          <w:bCs w:val="1"/>
          <w:color w:val="auto"/>
        </w:rPr>
        <w:t>Gemini Therapeutics and FS Development Corp. Announce Merger Agreement Creating Publicly Listed Precision Medicine Company Focused on Age-Related Macular Degeneration</w:t>
      </w:r>
    </w:p>
    <w:p>
      <w:pPr>
        <w:spacing w:after="0" w:line="148" w:lineRule="exact"/>
        <w:rPr>
          <w:sz w:val="20"/>
          <w:szCs w:val="20"/>
          <w:color w:val="auto"/>
        </w:rPr>
      </w:pPr>
    </w:p>
    <w:p>
      <w:pPr>
        <w:jc w:val="both"/>
        <w:ind w:left="620" w:right="60" w:hanging="338"/>
        <w:spacing w:after="0" w:line="26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Leading institutional investors commit $95 million through a common stock private investment in public equity (“PIPE”) led by Foresite Capital, as well as Fidelity Management &amp; Research Company LLC, Wellington Management, Boxer Capital of Tavistock Group, Alyeska Investment Group, L.P., Suvretta Capital Management,</w:t>
      </w:r>
    </w:p>
    <w:p>
      <w:pPr>
        <w:ind w:left="4380"/>
        <w:spacing w:after="0"/>
        <w:rPr>
          <w:sz w:val="20"/>
          <w:szCs w:val="20"/>
          <w:color w:val="auto"/>
        </w:rPr>
      </w:pPr>
      <w:r>
        <w:rPr>
          <w:rFonts w:ascii="Arial" w:cs="Arial" w:eastAsia="Arial" w:hAnsi="Arial"/>
          <w:sz w:val="16"/>
          <w:szCs w:val="16"/>
          <w:i w:val="1"/>
          <w:iCs w:val="1"/>
          <w:color w:val="auto"/>
        </w:rPr>
        <w:t>CVF, DAFNA Capital, and Acorn Bioventures –</w:t>
      </w:r>
    </w:p>
    <w:p>
      <w:pPr>
        <w:spacing w:after="0" w:line="186" w:lineRule="exact"/>
        <w:rPr>
          <w:sz w:val="20"/>
          <w:szCs w:val="20"/>
          <w:color w:val="auto"/>
        </w:rPr>
      </w:pPr>
    </w:p>
    <w:p>
      <w:pPr>
        <w:ind w:left="760" w:hanging="4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4"/>
          <w:szCs w:val="14"/>
          <w:i w:val="1"/>
          <w:iCs w:val="1"/>
          <w:color w:val="auto"/>
        </w:rPr>
        <w:t>Total proceeds from this transaction are expected to be approximately $216 million, combining funds held in FS Development Corp.’s trust account and the PIPE</w:t>
      </w:r>
    </w:p>
    <w:p>
      <w:pPr>
        <w:spacing w:after="0" w:line="9"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6"/>
          <w:szCs w:val="16"/>
          <w:i w:val="1"/>
          <w:iCs w:val="1"/>
          <w:color w:val="auto"/>
        </w:rPr>
        <w:t>financing, and will be used to advance Gemini Therapeutics’ precision medicine pipeline including potential treatments for AMD –</w:t>
      </w:r>
    </w:p>
    <w:p>
      <w:pPr>
        <w:spacing w:after="0" w:line="193" w:lineRule="exact"/>
        <w:rPr>
          <w:rFonts w:ascii="Arial" w:cs="Arial" w:eastAsia="Arial" w:hAnsi="Arial"/>
          <w:sz w:val="17"/>
          <w:szCs w:val="17"/>
          <w:color w:val="auto"/>
        </w:rPr>
      </w:pPr>
    </w:p>
    <w:p>
      <w:pPr>
        <w:ind w:left="3960" w:hanging="261"/>
        <w:spacing w:after="0"/>
        <w:tabs>
          <w:tab w:leader="none" w:pos="3960" w:val="left"/>
        </w:tabs>
        <w:numPr>
          <w:ilvl w:val="2"/>
          <w:numId w:val="6"/>
        </w:numPr>
        <w:rPr>
          <w:rFonts w:ascii="Arial" w:cs="Arial" w:eastAsia="Arial" w:hAnsi="Arial"/>
          <w:sz w:val="19"/>
          <w:szCs w:val="19"/>
          <w:color w:val="auto"/>
        </w:rPr>
      </w:pPr>
      <w:r>
        <w:rPr>
          <w:rFonts w:ascii="Arial" w:cs="Arial" w:eastAsia="Arial" w:hAnsi="Arial"/>
          <w:sz w:val="16"/>
          <w:szCs w:val="16"/>
          <w:i w:val="1"/>
          <w:iCs w:val="1"/>
          <w:color w:val="auto"/>
        </w:rPr>
        <w:t>Combined company is expected to be listed on Nasdaq –</w:t>
      </w:r>
    </w:p>
    <w:p>
      <w:pPr>
        <w:spacing w:after="0" w:line="187" w:lineRule="exact"/>
        <w:rPr>
          <w:rFonts w:ascii="Arial" w:cs="Arial" w:eastAsia="Arial" w:hAnsi="Arial"/>
          <w:sz w:val="19"/>
          <w:szCs w:val="19"/>
          <w:color w:val="auto"/>
        </w:rPr>
      </w:pPr>
    </w:p>
    <w:p>
      <w:pPr>
        <w:ind w:left="3540" w:hanging="251"/>
        <w:spacing w:after="0"/>
        <w:tabs>
          <w:tab w:leader="none" w:pos="3540" w:val="left"/>
        </w:tabs>
        <w:numPr>
          <w:ilvl w:val="1"/>
          <w:numId w:val="6"/>
        </w:numPr>
        <w:rPr>
          <w:rFonts w:ascii="Arial" w:cs="Arial" w:eastAsia="Arial" w:hAnsi="Arial"/>
          <w:sz w:val="19"/>
          <w:szCs w:val="19"/>
          <w:color w:val="auto"/>
        </w:rPr>
      </w:pPr>
      <w:r>
        <w:rPr>
          <w:rFonts w:ascii="Arial" w:cs="Arial" w:eastAsia="Arial" w:hAnsi="Arial"/>
          <w:sz w:val="16"/>
          <w:szCs w:val="16"/>
          <w:i w:val="1"/>
          <w:iCs w:val="1"/>
          <w:color w:val="auto"/>
        </w:rPr>
        <w:t>Business combination is expected to be completed by January 2021 –</w:t>
      </w:r>
    </w:p>
    <w:p>
      <w:pPr>
        <w:spacing w:after="0" w:line="188" w:lineRule="exact"/>
        <w:rPr>
          <w:sz w:val="20"/>
          <w:szCs w:val="20"/>
          <w:color w:val="auto"/>
        </w:rPr>
      </w:pPr>
    </w:p>
    <w:p>
      <w:pPr>
        <w:ind w:left="1860" w:hanging="241"/>
        <w:spacing w:after="0"/>
        <w:tabs>
          <w:tab w:leader="none" w:pos="1860"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Joint investor conference call to discuss the proposed transaction today, Thursday, October 15, 2020 at 10:30 a.m. EDT –</w:t>
      </w:r>
    </w:p>
    <w:p>
      <w:pPr>
        <w:spacing w:after="0" w:line="174"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b w:val="1"/>
          <w:bCs w:val="1"/>
          <w:color w:val="auto"/>
        </w:rPr>
        <w:t xml:space="preserve">CAMBRIDGE, Mass. and SAN FRANCISCO – October 15, 2020 </w:t>
      </w:r>
      <w:r>
        <w:rPr>
          <w:rFonts w:ascii="Arial" w:cs="Arial" w:eastAsia="Arial" w:hAnsi="Arial"/>
          <w:sz w:val="14"/>
          <w:szCs w:val="14"/>
          <w:color w:val="auto"/>
        </w:rPr>
        <w:t>– Gemini Therapeutics, a clinical stage precision medicine company developing innovative treatments for</w:t>
      </w:r>
      <w:r>
        <w:rPr>
          <w:rFonts w:ascii="Arial" w:cs="Arial" w:eastAsia="Arial" w:hAnsi="Arial"/>
          <w:sz w:val="14"/>
          <w:szCs w:val="14"/>
          <w:b w:val="1"/>
          <w:bCs w:val="1"/>
          <w:color w:val="auto"/>
        </w:rPr>
        <w:t xml:space="preserve"> </w:t>
      </w:r>
      <w:r>
        <w:rPr>
          <w:rFonts w:ascii="Arial" w:cs="Arial" w:eastAsia="Arial" w:hAnsi="Arial"/>
          <w:sz w:val="14"/>
          <w:szCs w:val="14"/>
          <w:color w:val="auto"/>
        </w:rPr>
        <w:t>genetically defined age-related macular degeneration (AMD), and FS Development Corp. (Nasdaq: FSDC), a special purpose acquisition company sponsored by Foresite Capital, today announced they have entered into a definitive merger agreement. Upon closing of the transaction, the company will be renamed “Gemini Therapeutics, Inc.” (Combined Company) and will be led by Jason Meyenburg, Chief Executive Officer of Gemini. The Combined Company’s common stock is expected to be listed on Nasdaq.</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In addition to the approximately $121 million held in FS Development Corp.’s trust account (assuming no redemptions are effected), a group of premier healthcare investors has committed to participate in the transaction through a common stock PIPE of approximately $95 million at $10.00 per share. Investors in the PIPE include lead investor Foresite Capital, an affiliate of FS Development Corp.’s sponsor, as well as Fidelity Management &amp; Research Company LLC, Wellington Management, Boxer Capital of Tavistock Group, Alyeska Investment Group, L.P., Suvretta Capital Management, CVF, DAFNA Capital, and Acorn Bioventures, in addition to existing Gemini Therapeutics shareholders including Orbimed Healthcare Fund Management, Atlas Venture, Lightstone Ventures and Wu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“This morning’s announcement is important for the advancement of AMD research, as it ensures we have the necessary capital to advance our clinical programs and continue applying our insights in genetics and biology to pioneer first-in-class medicines to restore regulation of the complement system in the eye and throughout the body, bringing forward targeted precision therapies based on genetically defined populations,” said Mr. Meyenburg. “I would like to thank all those involved in making this transaction a success, particularly our new and existing blue chip investors, and the entire Gemini team.”</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“Gemini embodies the type of company we had in mind when forming FSDC: a platform focused on the next generation of medicines utilizing genetics,” said Jim Tananbaum, M.D., Chief Executive Officer of Foresite Capital and President and Chief Executive Officer of FS Development Corp. “Gemini is developing treatments for patients losing their vision because of genetically driven macular degeneration. We are excited about the tremendous potential of this transaction, which we believe creates value for investors along with the potential to bring innovative new treatment options to patients.”</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Proceeds from the transaction are expected to provide Gemini with the capital needed to further develop its clinical programs and preclinical portfolio, including the following programs:</w:t>
      </w:r>
    </w:p>
    <w:p>
      <w:pPr>
        <w:spacing w:after="0" w:line="152" w:lineRule="exact"/>
        <w:rPr>
          <w:sz w:val="20"/>
          <w:szCs w:val="20"/>
          <w:color w:val="auto"/>
        </w:rPr>
      </w:pPr>
    </w:p>
    <w:p>
      <w:pPr>
        <w:ind w:left="620" w:right="60" w:hanging="290"/>
        <w:spacing w:after="0" w:line="255"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GEM103, Gemini’s lead product candidate for the treatment of dry AMD. GEM103 has entered a Phase 2a clinical study in patients with a complement Factor H mutation, which represents approximately 40% of the dry AMD population. Top line data are expected in the first half of 2021. Gemini believes GEM103 is capable of both regulating hyperactive complement activity and maintaining a healthy environment for the cellular architecture supporting retinal function in patients with complement dysreguluation. Gemini believes this differentiated approach allows GEM103 to more broadly address AMD pathology and to potentially treat both AMD and linked disorders through precision medicine;</w:t>
      </w:r>
    </w:p>
    <w:p>
      <w:pPr>
        <w:spacing w:after="0" w:line="193" w:lineRule="exact"/>
        <w:rPr>
          <w:rFonts w:ascii="Arial" w:cs="Arial" w:eastAsia="Arial" w:hAnsi="Arial"/>
          <w:sz w:val="16"/>
          <w:szCs w:val="16"/>
          <w:color w:val="auto"/>
        </w:rPr>
      </w:pPr>
    </w:p>
    <w:p>
      <w:pPr>
        <w:ind w:left="620" w:hanging="290"/>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Further clinical programs in selected wet AMD populations with secondary macular atrophy; and</w:t>
      </w:r>
    </w:p>
    <w:p>
      <w:pPr>
        <w:spacing w:after="0" w:line="222" w:lineRule="exact"/>
        <w:rPr>
          <w:rFonts w:ascii="Arial" w:cs="Arial" w:eastAsia="Arial" w:hAnsi="Arial"/>
          <w:sz w:val="16"/>
          <w:szCs w:val="16"/>
          <w:color w:val="auto"/>
        </w:rPr>
      </w:pPr>
    </w:p>
    <w:p>
      <w:pPr>
        <w:ind w:left="620" w:hanging="290"/>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programs to treat intermediate AMD through gene therapy and systemic diseases with genetically driven complement Factor H dysfunction.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Post-closing of the transaction, Mr. Meyenburg and Dr. Tananbaum will be joined by board members from Gemini to form the seven-person board of directors.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Transaction</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Current Gemini shareholders are converting 100% of their existing equity interests into common stock of the Combined Company. In addition to the approximately $121 million held in FSDC’s trust account (assuming no redemptions are effected), an additional group of premier healthcare investors has committed to participate in the transaction through a common stock PIPE of approximately $95 million at $10 per share.</w:t>
      </w:r>
    </w:p>
    <w:p>
      <w:pPr>
        <w:spacing w:after="0" w:line="16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Combined Company is expected to receive gross proceeds of approximately $216 million at the closing of the transaction (assuming no redemptions are effected), which is expected by January 2021. The close of this transaction is subject to approval of FSDC’s shareholders and the satisfaction or waiver of certain other customary closing conditions.</w:t>
      </w:r>
    </w:p>
    <w:p>
      <w:pPr>
        <w:spacing w:after="0" w:line="162" w:lineRule="exact"/>
        <w:rPr>
          <w:sz w:val="20"/>
          <w:szCs w:val="20"/>
          <w:color w:val="auto"/>
        </w:rPr>
      </w:pPr>
    </w:p>
    <w:p>
      <w:pPr>
        <w:ind w:right="160"/>
        <w:spacing w:after="0" w:line="287" w:lineRule="auto"/>
        <w:rPr>
          <w:sz w:val="20"/>
          <w:szCs w:val="20"/>
          <w:color w:val="auto"/>
        </w:rPr>
      </w:pPr>
      <w:r>
        <w:rPr>
          <w:rFonts w:ascii="Arial" w:cs="Arial" w:eastAsia="Arial" w:hAnsi="Arial"/>
          <w:sz w:val="15"/>
          <w:szCs w:val="15"/>
          <w:color w:val="auto"/>
        </w:rPr>
        <w:t>Jefferies LLC and SVB Leerink acted as co-lead private placement agents for FS Development Corp. Jefferies LLC also acted as lead financial and capital markets advisor to FS Development Corp. Goldman Sachs &amp; Co. LLC acted as lead financial advisor to Gemini in the transaction. Stifel acted as additional capital markets advisor to Gemini. Goodwin Procter LLP acted as legal counsel to Gemini. White &amp; Case LLP acted as legal counsel to FS Development Corp.</w:t>
      </w:r>
    </w:p>
    <w:p>
      <w:pPr>
        <w:spacing w:after="0" w:line="14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description of the business combination contained herein is only a high-level summary. Additional information about the transaction will be provided in a Current Report on Form 8-K that will contain an investor presentation to be filed by FS Development Corp. with the Securities and Exchange Commission (“SEC”) and will be available at www.sec.gov. In addition, FS Development Corp. intends to file a registration statement on Form S-4 with the SEC, which will include a proxy statement/prospectus, and will file other documents regarding the proposed transaction with the SEC.</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 xml:space="preserve">In connection with the proposed business combination, FS Development Corp. intends to file a Registration Statement on Form S-4, including a preliminary proxy statement/prospectus and a definitive proxy statement/prospectus with the SEC. </w:t>
      </w:r>
      <w:r>
        <w:rPr>
          <w:rFonts w:ascii="Arial" w:cs="Arial" w:eastAsia="Arial" w:hAnsi="Arial"/>
          <w:sz w:val="14"/>
          <w:szCs w:val="14"/>
          <w:b w:val="1"/>
          <w:bCs w:val="1"/>
          <w:color w:val="auto"/>
        </w:rPr>
        <w:t>FS Development Corp.’s stockholders and other interested persons are advised to read,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when available, the preliminary proxy statement/prospectus and the amendments thereto and the definitive proxy statement/prospectus and documents incorporated by reference therein filed in connection with the proposed business combination, as these materials will contain important information about Gemini, FS Development Corp., and the proposed merger. </w:t>
      </w:r>
      <w:r>
        <w:rPr>
          <w:rFonts w:ascii="Arial" w:cs="Arial" w:eastAsia="Arial" w:hAnsi="Arial"/>
          <w:sz w:val="14"/>
          <w:szCs w:val="14"/>
          <w:color w:val="auto"/>
        </w:rPr>
        <w:t>When available, the definitive proxy statement/prospectus and other relevant materials for the proposed merger will be mailed</w:t>
      </w:r>
      <w:r>
        <w:rPr>
          <w:rFonts w:ascii="Arial" w:cs="Arial" w:eastAsia="Arial" w:hAnsi="Arial"/>
          <w:sz w:val="14"/>
          <w:szCs w:val="14"/>
          <w:b w:val="1"/>
          <w:bCs w:val="1"/>
          <w:color w:val="auto"/>
        </w:rPr>
        <w:t xml:space="preserve"> </w:t>
      </w:r>
      <w:r>
        <w:rPr>
          <w:rFonts w:ascii="Arial" w:cs="Arial" w:eastAsia="Arial" w:hAnsi="Arial"/>
          <w:sz w:val="14"/>
          <w:szCs w:val="14"/>
          <w:color w:val="auto"/>
        </w:rPr>
        <w:t>to stockholders of FS Development Corp. as of a record date to be established for voting on the proposed business combination. Stockholders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press@foresitecapital.com.</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202" w:lineRule="exact"/>
        <w:rPr>
          <w:sz w:val="20"/>
          <w:szCs w:val="20"/>
          <w:color w:val="auto"/>
        </w:rPr>
      </w:pPr>
    </w:p>
    <w:p>
      <w:pPr>
        <w:spacing w:after="0" w:line="349" w:lineRule="auto"/>
        <w:rPr>
          <w:sz w:val="20"/>
          <w:szCs w:val="20"/>
          <w:color w:val="auto"/>
        </w:rPr>
      </w:pPr>
      <w:r>
        <w:rPr>
          <w:rFonts w:ascii="Arial" w:cs="Arial" w:eastAsia="Arial" w:hAnsi="Arial"/>
          <w:sz w:val="14"/>
          <w:szCs w:val="14"/>
          <w:color w:val="auto"/>
        </w:rPr>
        <w:t>Gemini and FS Development Corp. will host a conference call today, Thursday, October 15, 2020, at 10:30 a.m. Eastern Time, to discuss the proposed transaction. To access the conference call, please dial (888) 317-6003 (local) or (412) 317-6061 (international) at least 10 minutes prior to the start time and reference conference ID: 4983831.</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Gemini Therapeutics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Gemini Therapeutics is a clinical stage precision medicine company developing innovative treatments for age-related macular degeneration (AMD) by developing drugging strategies that are matched to specific genetic mutations found in patients with high clinical unmet need. Gemini’s lead clinical stage candidate, GEM103, is a recombinant form of the naturally occurring complement factor H protein currently in a Phase 2a trial in dry AMD patients with a complement factor H mutation. The company has generated a rich pipeline including recombinant proteins, gene therapies, and monoclonal antibodies. Gemini’s CLARITY natural history study is designed to provide unprecedented insight into the role of genetic risk in common retinal diseases and began in December 2018. Gemini was launched with funding from leading life science investors and powered by academic partnerships globally.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visit www.geminitherapeutics.com.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FS Development Corp. (FSDC)</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FS Development Corp., sponsored by Foresite Capital, is a blank check company formed for the purpose of effecting a business combination with one or more businesses in the biotechnology sector. The company is led by Jim Tananbaum, M.D., the CEO of Foresite Capital, an investment firm funding visionary healthcare entrepreneurs with approximately $3 billion in assets under management. The firm is headquartered in San Francisco.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About the Merger and Where to Find It</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 full description of the terms of the business combination will be provided in a registration statement on Form S-4 to be filed with the SEC by FS Development Corp. that will include a prospectus with respect to the Combined Company’s securities to be issued in connection with the business combination and a proxy statement with respect to the shareholder meeting of FS Development Corp. to vote on the business combination</w:t>
      </w:r>
      <w:r>
        <w:rPr>
          <w:rFonts w:ascii="Arial" w:cs="Arial" w:eastAsia="Arial" w:hAnsi="Arial"/>
          <w:sz w:val="15"/>
          <w:szCs w:val="15"/>
          <w:b w:val="1"/>
          <w:bCs w:val="1"/>
          <w:color w:val="auto"/>
        </w:rPr>
        <w:t>. FS Development Corp. urges its investors, shareholders and other interested persons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to read, when available, the preliminary proxy statement/ prospectus as well as other documents filed with the SEC because these documents will contain important information about FS Development Corp., Gemini and the business combination. </w:t>
      </w:r>
      <w:r>
        <w:rPr>
          <w:rFonts w:ascii="Arial" w:cs="Arial" w:eastAsia="Arial" w:hAnsi="Arial"/>
          <w:sz w:val="15"/>
          <w:szCs w:val="15"/>
          <w:color w:val="auto"/>
        </w:rPr>
        <w:t>After the registration statement is declared effective, the definitive proxy</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statement/prospectus to be included in the registration statement will be mailed to shareholders of FS Development Corp.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FS Development Corp., Attn: Secretary, 600 Montgomery Street, Suite 4500, San Francisco, California 94111. The preliminary and definitive proxy statement/prospectus to be included in the registration statement, once available, can also be obtained, without charge, at the SEC’s website (www.sec.gov).</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FS Development Corp. and Gemini Therapeutics and their respective directors and executive officers may be considered participants in the solicitation of proxies with respect to the proposed business combination described in this press release under the rules of the SEC. Information about the directors and executive officers of FS Development Corp. is set forth in FS Development Corp.’s final prospectus filed with the SEC pursuant to Rule 424(b) of the Securities Act of 1933, as amended (the “Securities Act”) on August 13, 2020, and is available free of charge at the SEC’s website at www.sec.gov or by directing a request to: FS Development Corp., Attn: Secretary, 600 Montgomery Street, Suite 4500, San Francisco, California 94111. Information regarding the persons who may, under the rules of the SEC, be deemed participants in the solicitation of the FS Development Corp. shareholders in connection with the proposed business combination will be set forth in the registration statement containing the proxy statement/prospectus for the proposed business combination when it is filed with the SEC. These documents can be obtained free of charge from the sources indicated above.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i w:val="1"/>
          <w:iCs w:val="1"/>
          <w:color w:val="auto"/>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including the timing and structure of the business combination, the proceeds of the business combination, the initial market capitalization of the Combined Company and the benefits of the business combination, as well as statements about the potential attributes and benefits of Gemini’s product candidates and the format and timing of Gemini’s product development activities and clinical trials. We cannot assure you that the forward-looking statements in this press release will prove to be accurate. These forward-looking statements are subject to a number of significant risks and uncertainties that could cause actual results to differ materially from expected results, including, among others, the ability to complete the business combination due to the failure to obtain approval from FS Development Corp.’s shareholders or satisfy other closing conditions in the Merger Agreement, the occurrence of any event that could give rise to the termination of the Merger Agreement, the ability to recognize the anticipated benefits of the business combination, the outcome of any legal proceedings that may be instituted against FS Development Corp. or Gemini following announcement of the proposed business combination and related transactions, the impact of COVID-19 on Gemini’s business and/or the ability of the parties to complete the business combination, the ability to obtain or maintain the listing of FS Development Corp.’s common stock on Nasdaq following the proposed business combination, costs related to the proposed business combination, changes in applicable laws or regulations, the possibility that FS Development Corp. or Gemini may be adversely affected by other economic, business, and/or competitive factors, and other risks and uncertainties, including those to be included under the header “Risk Factors” in the registration statement on Form S-4 to be filed by FS Development Corp. with the SEC and those included under the header “Risk Factors” in the final prospectus of FS Development Corp. related to its initial public offering. Most of these factors are outside of FS Development Corp.’s and Gemini’s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This press release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Gemini Investor Contact: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Sherri Spear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212-600-1902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gemini@argotpartners.com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Gemini Media Contact: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Joshua Mansbach</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212-600-1902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gemini@argotpartners.com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FSDC Contact: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Foresite Capital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Cindy Mesaros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415-413-7627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press@foresitecapital.com</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4876800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051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þ"/>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2020-10-15T07:19:30Z</dcterms:created>
  <dcterms:modified xsi:type="dcterms:W3CDTF">2020-10-15T07:19:30Z</dcterms:modified>
</cp:coreProperties>
</file>